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CFFF8" w14:textId="77777777" w:rsidR="00E068A2" w:rsidRDefault="00E068A2" w:rsidP="00E068A2">
      <w:pPr>
        <w:spacing w:after="0" w:line="300" w:lineRule="atLeast"/>
        <w:rPr>
          <w:rFonts w:ascii="Segoe UI" w:eastAsia="Aptos" w:hAnsi="Segoe UI" w:cs="Segoe UI"/>
          <w:b/>
          <w:bCs/>
          <w:i/>
          <w:iCs/>
          <w:sz w:val="36"/>
          <w:szCs w:val="36"/>
        </w:rPr>
      </w:pPr>
      <w:r w:rsidRPr="00E068A2">
        <w:rPr>
          <w:rFonts w:ascii="Segoe UI" w:eastAsia="Aptos" w:hAnsi="Segoe UI" w:cs="Segoe UI"/>
          <w:b/>
          <w:bCs/>
          <w:i/>
          <w:iCs/>
          <w:sz w:val="36"/>
          <w:szCs w:val="36"/>
        </w:rPr>
        <w:t>“Four Decades of Innovation, Inspiration and Impact”</w:t>
      </w:r>
      <w:r>
        <w:rPr>
          <w:rFonts w:ascii="Segoe UI" w:eastAsia="Aptos" w:hAnsi="Segoe UI" w:cs="Segoe UI"/>
          <w:b/>
          <w:bCs/>
          <w:i/>
          <w:iCs/>
          <w:sz w:val="36"/>
          <w:szCs w:val="36"/>
        </w:rPr>
        <w:t xml:space="preserve">   </w:t>
      </w:r>
    </w:p>
    <w:p w14:paraId="035AD7DC" w14:textId="030F063A" w:rsidR="00E068A2" w:rsidRDefault="00E068A2" w:rsidP="00592AF3">
      <w:pPr>
        <w:spacing w:before="120" w:after="120" w:line="300" w:lineRule="atLeast"/>
        <w:rPr>
          <w:rFonts w:ascii="Segoe UI" w:eastAsia="Aptos" w:hAnsi="Segoe UI" w:cs="Segoe UI"/>
          <w:i/>
          <w:iCs/>
          <w:sz w:val="28"/>
          <w:szCs w:val="28"/>
        </w:rPr>
      </w:pPr>
      <w:r w:rsidRPr="00E068A2">
        <w:rPr>
          <w:rFonts w:ascii="Segoe UI" w:eastAsia="Aptos" w:hAnsi="Segoe UI" w:cs="Segoe UI"/>
          <w:i/>
          <w:iCs/>
          <w:sz w:val="28"/>
          <w:szCs w:val="28"/>
        </w:rPr>
        <w:t>Keynote presentation by Dr. Michael Main at the 40</w:t>
      </w:r>
      <w:r w:rsidRPr="00E068A2">
        <w:rPr>
          <w:rFonts w:ascii="Segoe UI" w:eastAsia="Aptos" w:hAnsi="Segoe UI" w:cs="Segoe UI"/>
          <w:i/>
          <w:iCs/>
          <w:sz w:val="28"/>
          <w:szCs w:val="28"/>
          <w:vertAlign w:val="superscript"/>
        </w:rPr>
        <w:t>th</w:t>
      </w:r>
      <w:r w:rsidRPr="00E068A2">
        <w:rPr>
          <w:rFonts w:ascii="Segoe UI" w:eastAsia="Aptos" w:hAnsi="Segoe UI" w:cs="Segoe UI"/>
          <w:i/>
          <w:iCs/>
          <w:sz w:val="28"/>
          <w:szCs w:val="28"/>
        </w:rPr>
        <w:t xml:space="preserve"> anniversary International Bubble Conference in Chicago </w:t>
      </w:r>
      <w:r>
        <w:rPr>
          <w:rFonts w:ascii="Segoe UI" w:eastAsia="Aptos" w:hAnsi="Segoe UI" w:cs="Segoe UI"/>
          <w:i/>
          <w:iCs/>
          <w:sz w:val="28"/>
          <w:szCs w:val="28"/>
        </w:rPr>
        <w:t>(October 1, 2026)</w:t>
      </w:r>
    </w:p>
    <w:p w14:paraId="144F9530" w14:textId="77777777" w:rsidR="00E068A2" w:rsidRPr="00E068A2" w:rsidRDefault="00E068A2" w:rsidP="00E068A2">
      <w:pPr>
        <w:spacing w:after="0" w:line="300" w:lineRule="atLeast"/>
        <w:rPr>
          <w:rFonts w:ascii="Segoe UI" w:eastAsia="Aptos" w:hAnsi="Segoe UI" w:cs="Segoe UI"/>
          <w:i/>
          <w:iCs/>
          <w:sz w:val="28"/>
          <w:szCs w:val="28"/>
        </w:rPr>
      </w:pPr>
    </w:p>
    <w:tbl>
      <w:tblPr>
        <w:tblStyle w:val="TableGrid"/>
        <w:tblW w:w="0" w:type="auto"/>
        <w:tblLook w:val="04A0" w:firstRow="1" w:lastRow="0" w:firstColumn="1" w:lastColumn="0" w:noHBand="0" w:noVBand="1"/>
      </w:tblPr>
      <w:tblGrid>
        <w:gridCol w:w="2106"/>
        <w:gridCol w:w="7244"/>
      </w:tblGrid>
      <w:tr w:rsidR="00E068A2" w14:paraId="6C80F0C7" w14:textId="77777777" w:rsidTr="00E068A2">
        <w:tc>
          <w:tcPr>
            <w:tcW w:w="1795" w:type="dxa"/>
          </w:tcPr>
          <w:p w14:paraId="735F5EF2" w14:textId="30FB16F9" w:rsidR="00E068A2" w:rsidRPr="009F769D" w:rsidRDefault="00022017" w:rsidP="00022017">
            <w:pPr>
              <w:spacing w:before="120" w:after="100" w:afterAutospacing="1" w:line="300" w:lineRule="atLeast"/>
              <w:rPr>
                <w:rFonts w:ascii="Segoe UI" w:eastAsia="Aptos" w:hAnsi="Segoe UI" w:cs="Segoe UI"/>
                <w:b/>
                <w:bCs/>
                <w:szCs w:val="20"/>
              </w:rPr>
            </w:pPr>
            <w:r w:rsidRPr="009F769D">
              <w:rPr>
                <w:rFonts w:ascii="Segoe UI" w:eastAsia="Aptos" w:hAnsi="Segoe UI" w:cs="Segoe UI"/>
                <w:b/>
                <w:bCs/>
                <w:noProof/>
                <w:szCs w:val="20"/>
              </w:rPr>
              <w:drawing>
                <wp:inline distT="0" distB="0" distL="0" distR="0" wp14:anchorId="2BAD212E" wp14:editId="2582CFC4">
                  <wp:extent cx="1200150" cy="1804252"/>
                  <wp:effectExtent l="0" t="0" r="0" b="5715"/>
                  <wp:docPr id="49206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632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00150" cy="1804252"/>
                          </a:xfrm>
                          <a:prstGeom prst="rect">
                            <a:avLst/>
                          </a:prstGeom>
                        </pic:spPr>
                      </pic:pic>
                    </a:graphicData>
                  </a:graphic>
                </wp:inline>
              </w:drawing>
            </w:r>
          </w:p>
        </w:tc>
        <w:tc>
          <w:tcPr>
            <w:tcW w:w="7555" w:type="dxa"/>
          </w:tcPr>
          <w:p w14:paraId="2CCA6B3E" w14:textId="790468EE" w:rsidR="00E068A2" w:rsidRPr="009F769D" w:rsidRDefault="00E068A2" w:rsidP="00592AF3">
            <w:pPr>
              <w:spacing w:before="120" w:after="0" w:line="300" w:lineRule="atLeast"/>
              <w:rPr>
                <w:rFonts w:ascii="Segoe UI" w:eastAsia="Aptos" w:hAnsi="Segoe UI" w:cs="Segoe UI"/>
                <w:b/>
                <w:bCs/>
                <w:sz w:val="18"/>
                <w:szCs w:val="18"/>
              </w:rPr>
            </w:pPr>
            <w:r w:rsidRPr="009F769D">
              <w:rPr>
                <w:rFonts w:ascii="Segoe UI" w:eastAsia="Aptos" w:hAnsi="Segoe UI" w:cs="Segoe UI"/>
                <w:sz w:val="18"/>
                <w:szCs w:val="18"/>
              </w:rPr>
              <w:t>Dr. Michael Main is a board member and co-founder of the International Contrast Ultrasound Society, professor of medicine at the University of Missouri-Kansas City, President of Saint Luke's Physician Group, and Chief Clinical Officer for BJC Health System (West Region).  A distinguished cardiologist, Dr. Main is an internationally recognized authority in contrast-enhanced ultrasound (CEUS).  He has led landmark investigations into the safety of ultrasound contrast agents, producing much of the evidence that established their favorable safety profile and informed regulatory and clinical practice changes.  His leadership, research, and advocacy have been instrumental in advancing the use of CEUS for millions of patients worldwide.</w:t>
            </w:r>
          </w:p>
        </w:tc>
      </w:tr>
    </w:tbl>
    <w:p w14:paraId="28718591" w14:textId="77777777" w:rsidR="00E068A2" w:rsidRPr="00C91A5F" w:rsidRDefault="00E068A2" w:rsidP="00E068A2">
      <w:pPr>
        <w:spacing w:before="100" w:beforeAutospacing="1" w:after="100" w:afterAutospacing="1" w:line="300" w:lineRule="atLeast"/>
        <w:rPr>
          <w:rFonts w:ascii="Segoe UI" w:eastAsia="Aptos" w:hAnsi="Segoe UI" w:cs="Segoe UI"/>
          <w:b/>
          <w:bCs/>
          <w:sz w:val="28"/>
          <w:szCs w:val="28"/>
        </w:rPr>
      </w:pPr>
      <w:r w:rsidRPr="00C91A5F">
        <w:rPr>
          <w:rFonts w:ascii="Segoe UI" w:eastAsia="Aptos" w:hAnsi="Segoe UI" w:cs="Segoe UI"/>
          <w:b/>
          <w:bCs/>
          <w:sz w:val="28"/>
          <w:szCs w:val="28"/>
        </w:rPr>
        <w:t>Overview</w:t>
      </w:r>
    </w:p>
    <w:p w14:paraId="261DD256" w14:textId="16B2FA86"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sz w:val="21"/>
          <w:szCs w:val="21"/>
        </w:rPr>
        <w:t xml:space="preserve">Dr. Main's </w:t>
      </w:r>
      <w:r w:rsidR="00C91A5F">
        <w:rPr>
          <w:rFonts w:ascii="Segoe UI" w:eastAsia="Aptos" w:hAnsi="Segoe UI" w:cs="Segoe UI"/>
          <w:sz w:val="21"/>
          <w:szCs w:val="21"/>
        </w:rPr>
        <w:t xml:space="preserve">keynote </w:t>
      </w:r>
      <w:r w:rsidRPr="00E068A2">
        <w:rPr>
          <w:rFonts w:ascii="Segoe UI" w:eastAsia="Aptos" w:hAnsi="Segoe UI" w:cs="Segoe UI"/>
          <w:sz w:val="21"/>
          <w:szCs w:val="21"/>
        </w:rPr>
        <w:t>presentation traced the 40-year evolution of contrast-enhanced ultrasound (CEUS), highlighting the scientific breakthroughs, regulatory challenges, multidisciplinary collaborations, and leadership that transformed microbubble contrast imaging from an experimental concept in the 1980s into a globally recognized diagnostic and therapeutic tool.</w:t>
      </w:r>
      <w:r w:rsidRPr="00E068A2">
        <w:rPr>
          <w:rFonts w:ascii="Segoe UI" w:eastAsia="Aptos" w:hAnsi="Segoe UI" w:cs="Segoe UI"/>
          <w:color w:val="D20000"/>
          <w:sz w:val="21"/>
          <w:szCs w:val="21"/>
        </w:rPr>
        <w:t xml:space="preserve"> </w:t>
      </w:r>
    </w:p>
    <w:p w14:paraId="611AEBBB" w14:textId="77777777" w:rsidR="00E068A2" w:rsidRPr="00E068A2" w:rsidRDefault="007A594A" w:rsidP="00E068A2">
      <w:pPr>
        <w:spacing w:after="0" w:line="300" w:lineRule="atLeast"/>
        <w:jc w:val="center"/>
        <w:rPr>
          <w:rFonts w:ascii="Segoe UI" w:eastAsia="Times New Roman" w:hAnsi="Segoe UI" w:cs="Segoe UI"/>
          <w:sz w:val="21"/>
          <w:szCs w:val="21"/>
        </w:rPr>
      </w:pPr>
      <w:r>
        <w:rPr>
          <w:rFonts w:ascii="Segoe UI" w:eastAsia="Times New Roman" w:hAnsi="Segoe UI" w:cs="Segoe UI"/>
          <w:sz w:val="21"/>
          <w:szCs w:val="21"/>
        </w:rPr>
        <w:pict w14:anchorId="2DB655BA">
          <v:rect id="_x0000_i1025" style="width:468pt;height:1.2pt" o:hralign="center" o:hrstd="t" o:hr="t" fillcolor="#a0a0a0" stroked="f"/>
        </w:pict>
      </w:r>
    </w:p>
    <w:p w14:paraId="60D25181" w14:textId="77777777" w:rsidR="00E068A2" w:rsidRPr="00C91A5F" w:rsidRDefault="00E068A2" w:rsidP="00E068A2">
      <w:pPr>
        <w:spacing w:before="100" w:beforeAutospacing="1" w:after="100" w:afterAutospacing="1" w:line="300" w:lineRule="atLeast"/>
        <w:rPr>
          <w:rFonts w:ascii="Segoe UI" w:eastAsia="Aptos" w:hAnsi="Segoe UI" w:cs="Segoe UI"/>
          <w:b/>
          <w:bCs/>
          <w:sz w:val="28"/>
          <w:szCs w:val="28"/>
        </w:rPr>
      </w:pPr>
      <w:r w:rsidRPr="00C91A5F">
        <w:rPr>
          <w:rFonts w:ascii="Segoe UI" w:eastAsia="Aptos" w:hAnsi="Segoe UI" w:cs="Segoe UI"/>
          <w:b/>
          <w:bCs/>
          <w:sz w:val="28"/>
          <w:szCs w:val="28"/>
        </w:rPr>
        <w:t>1. Origins: The Early Years of Contrast Echocardiography</w:t>
      </w:r>
    </w:p>
    <w:p w14:paraId="7F8DA344" w14:textId="43E1417C" w:rsidR="00E068A2" w:rsidRPr="00E068A2" w:rsidRDefault="00C91A5F" w:rsidP="00E068A2">
      <w:pPr>
        <w:spacing w:before="100" w:beforeAutospacing="1" w:after="100" w:afterAutospacing="1" w:line="300" w:lineRule="atLeast"/>
        <w:rPr>
          <w:rFonts w:ascii="Segoe UI" w:eastAsia="Aptos" w:hAnsi="Segoe UI" w:cs="Segoe UI"/>
          <w:sz w:val="21"/>
          <w:szCs w:val="21"/>
        </w:rPr>
      </w:pPr>
      <w:r>
        <w:rPr>
          <w:rFonts w:ascii="Segoe UI" w:eastAsia="Aptos" w:hAnsi="Segoe UI" w:cs="Segoe UI"/>
          <w:sz w:val="21"/>
          <w:szCs w:val="21"/>
        </w:rPr>
        <w:t>Dr. Main recalled</w:t>
      </w:r>
      <w:r w:rsidR="00E068A2" w:rsidRPr="00E068A2">
        <w:rPr>
          <w:rFonts w:ascii="Segoe UI" w:eastAsia="Aptos" w:hAnsi="Segoe UI" w:cs="Segoe UI"/>
          <w:sz w:val="21"/>
          <w:szCs w:val="21"/>
        </w:rPr>
        <w:t xml:space="preserve"> the cardiovascular landscape of the 1980s, a period marked by major advances in treating acute myocardial infarction. Against that backdrop, pioneers in contrast echocardiography explored whether microbubbles could be used to visualize myocardial perfusion and answer critical clinical questions:</w:t>
      </w:r>
    </w:p>
    <w:p w14:paraId="77BD6CFF" w14:textId="77777777" w:rsidR="00E068A2" w:rsidRPr="00E068A2" w:rsidRDefault="00E068A2" w:rsidP="00E068A2">
      <w:pPr>
        <w:numPr>
          <w:ilvl w:val="0"/>
          <w:numId w:val="1"/>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What properties should an ideal myocardial perfusion agent possess?</w:t>
      </w:r>
    </w:p>
    <w:p w14:paraId="390B783C" w14:textId="77777777" w:rsidR="00E068A2" w:rsidRPr="00E068A2" w:rsidRDefault="00E068A2" w:rsidP="00E068A2">
      <w:pPr>
        <w:numPr>
          <w:ilvl w:val="0"/>
          <w:numId w:val="1"/>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Could contrast agents survive transpulmonary passage?</w:t>
      </w:r>
    </w:p>
    <w:p w14:paraId="08106A8B" w14:textId="77777777" w:rsidR="00E068A2" w:rsidRPr="00E068A2" w:rsidRDefault="00E068A2" w:rsidP="00E068A2">
      <w:pPr>
        <w:numPr>
          <w:ilvl w:val="0"/>
          <w:numId w:val="1"/>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Could ultrasound identify the myocardium at risk during acute infarction?</w:t>
      </w:r>
    </w:p>
    <w:p w14:paraId="78D41AAD" w14:textId="77777777" w:rsidR="00E068A2" w:rsidRPr="00E068A2" w:rsidRDefault="00E068A2" w:rsidP="00E068A2">
      <w:pPr>
        <w:numPr>
          <w:ilvl w:val="0"/>
          <w:numId w:val="1"/>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 xml:space="preserve">Could infarct size be measured noninvasively? </w:t>
      </w:r>
      <w:r w:rsidRPr="00E068A2">
        <w:rPr>
          <w:rFonts w:ascii="Segoe UI" w:eastAsia="Times New Roman" w:hAnsi="Segoe UI" w:cs="Segoe UI"/>
          <w:color w:val="D20000"/>
          <w:sz w:val="21"/>
          <w:szCs w:val="21"/>
        </w:rPr>
        <w:t> </w:t>
      </w:r>
    </w:p>
    <w:p w14:paraId="7C106A49" w14:textId="395FC482"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sz w:val="21"/>
          <w:szCs w:val="21"/>
        </w:rPr>
        <w:t xml:space="preserve">Dr. Main showed images from the earliest Bubble Conferences and highlighted landmark studies from the early 1980s demonstrating </w:t>
      </w:r>
      <w:r w:rsidR="00F7543B">
        <w:rPr>
          <w:rFonts w:ascii="Segoe UI" w:eastAsia="Aptos" w:hAnsi="Segoe UI" w:cs="Segoe UI"/>
          <w:sz w:val="21"/>
          <w:szCs w:val="21"/>
        </w:rPr>
        <w:t xml:space="preserve">visualization of </w:t>
      </w:r>
      <w:r w:rsidRPr="00E068A2">
        <w:rPr>
          <w:rFonts w:ascii="Segoe UI" w:eastAsia="Aptos" w:hAnsi="Segoe UI" w:cs="Segoe UI"/>
          <w:sz w:val="21"/>
          <w:szCs w:val="21"/>
        </w:rPr>
        <w:t xml:space="preserve">myocardial perfusion abnormalities with contrast-enhanced echocardiography. </w:t>
      </w:r>
      <w:r w:rsidRPr="00E068A2">
        <w:rPr>
          <w:rFonts w:ascii="Segoe UI" w:eastAsia="Aptos" w:hAnsi="Segoe UI" w:cs="Segoe UI"/>
          <w:color w:val="D20000"/>
          <w:sz w:val="21"/>
          <w:szCs w:val="21"/>
        </w:rPr>
        <w:t> </w:t>
      </w:r>
    </w:p>
    <w:p w14:paraId="1CCA7413" w14:textId="77777777" w:rsidR="00E068A2" w:rsidRPr="00E068A2" w:rsidRDefault="007A594A" w:rsidP="00E068A2">
      <w:pPr>
        <w:spacing w:after="0" w:line="300" w:lineRule="atLeast"/>
        <w:jc w:val="center"/>
        <w:rPr>
          <w:rFonts w:ascii="Segoe UI" w:eastAsia="Times New Roman" w:hAnsi="Segoe UI" w:cs="Segoe UI"/>
          <w:sz w:val="21"/>
          <w:szCs w:val="21"/>
        </w:rPr>
      </w:pPr>
      <w:r>
        <w:rPr>
          <w:rFonts w:ascii="Segoe UI" w:eastAsia="Times New Roman" w:hAnsi="Segoe UI" w:cs="Segoe UI"/>
          <w:sz w:val="21"/>
          <w:szCs w:val="21"/>
        </w:rPr>
        <w:pict w14:anchorId="4703996F">
          <v:rect id="_x0000_i1026" style="width:468pt;height:1.2pt" o:hralign="center" o:hrstd="t" o:hr="t" fillcolor="#a0a0a0" stroked="f"/>
        </w:pict>
      </w:r>
    </w:p>
    <w:p w14:paraId="1DD3B2A1" w14:textId="6ADF17D5" w:rsidR="00E068A2" w:rsidRPr="00F7543B" w:rsidRDefault="00E068A2" w:rsidP="00E068A2">
      <w:pPr>
        <w:spacing w:before="100" w:beforeAutospacing="1" w:after="100" w:afterAutospacing="1" w:line="300" w:lineRule="atLeast"/>
        <w:rPr>
          <w:rFonts w:ascii="Segoe UI" w:eastAsia="Aptos" w:hAnsi="Segoe UI" w:cs="Segoe UI"/>
          <w:b/>
          <w:bCs/>
          <w:sz w:val="28"/>
          <w:szCs w:val="28"/>
        </w:rPr>
      </w:pPr>
      <w:r w:rsidRPr="00F7543B">
        <w:rPr>
          <w:rFonts w:ascii="Segoe UI" w:eastAsia="Aptos" w:hAnsi="Segoe UI" w:cs="Segoe UI"/>
          <w:b/>
          <w:bCs/>
          <w:sz w:val="28"/>
          <w:szCs w:val="28"/>
        </w:rPr>
        <w:lastRenderedPageBreak/>
        <w:t>2. Breakthroughs</w:t>
      </w:r>
    </w:p>
    <w:p w14:paraId="73E10EC0" w14:textId="44CCC0E4" w:rsidR="00E068A2" w:rsidRPr="00E068A2" w:rsidRDefault="00F7543B" w:rsidP="00E068A2">
      <w:pPr>
        <w:spacing w:before="100" w:beforeAutospacing="1" w:after="100" w:afterAutospacing="1" w:line="300" w:lineRule="atLeast"/>
        <w:rPr>
          <w:rFonts w:ascii="Segoe UI" w:eastAsia="Aptos" w:hAnsi="Segoe UI" w:cs="Segoe UI"/>
          <w:sz w:val="21"/>
          <w:szCs w:val="21"/>
        </w:rPr>
      </w:pPr>
      <w:r>
        <w:rPr>
          <w:rFonts w:ascii="Segoe UI" w:eastAsia="Aptos" w:hAnsi="Segoe UI" w:cs="Segoe UI"/>
          <w:sz w:val="21"/>
          <w:szCs w:val="21"/>
        </w:rPr>
        <w:t>F</w:t>
      </w:r>
      <w:r w:rsidR="00E068A2" w:rsidRPr="00E068A2">
        <w:rPr>
          <w:rFonts w:ascii="Segoe UI" w:eastAsia="Aptos" w:hAnsi="Segoe UI" w:cs="Segoe UI"/>
          <w:sz w:val="21"/>
          <w:szCs w:val="21"/>
        </w:rPr>
        <w:t xml:space="preserve">irst-generation contrast agents and fundamental imaging </w:t>
      </w:r>
      <w:r>
        <w:rPr>
          <w:rFonts w:ascii="Segoe UI" w:eastAsia="Aptos" w:hAnsi="Segoe UI" w:cs="Segoe UI"/>
          <w:sz w:val="21"/>
          <w:szCs w:val="21"/>
        </w:rPr>
        <w:t xml:space="preserve">soon evolved and let </w:t>
      </w:r>
      <w:r w:rsidR="00E068A2" w:rsidRPr="00E068A2">
        <w:rPr>
          <w:rFonts w:ascii="Segoe UI" w:eastAsia="Aptos" w:hAnsi="Segoe UI" w:cs="Segoe UI"/>
          <w:sz w:val="21"/>
          <w:szCs w:val="21"/>
        </w:rPr>
        <w:t>to modern microbubble agents and harmonic imaging.</w:t>
      </w:r>
      <w:r>
        <w:rPr>
          <w:rFonts w:ascii="Segoe UI" w:eastAsia="Aptos" w:hAnsi="Segoe UI" w:cs="Segoe UI"/>
          <w:sz w:val="21"/>
          <w:szCs w:val="21"/>
        </w:rPr>
        <w:t xml:space="preserve">  </w:t>
      </w:r>
      <w:r w:rsidR="00E068A2" w:rsidRPr="00E068A2">
        <w:rPr>
          <w:rFonts w:ascii="Segoe UI" w:eastAsia="Aptos" w:hAnsi="Segoe UI" w:cs="Segoe UI"/>
          <w:sz w:val="21"/>
          <w:szCs w:val="21"/>
        </w:rPr>
        <w:t>Key advances included:</w:t>
      </w:r>
    </w:p>
    <w:p w14:paraId="1BFFDB95" w14:textId="77777777" w:rsidR="00E068A2" w:rsidRPr="00E068A2" w:rsidRDefault="00E068A2" w:rsidP="00E068A2">
      <w:pPr>
        <w:numPr>
          <w:ilvl w:val="0"/>
          <w:numId w:val="2"/>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Development of second-generation transpulmonary contrast agents.</w:t>
      </w:r>
    </w:p>
    <w:p w14:paraId="4197921C" w14:textId="77777777" w:rsidR="00E068A2" w:rsidRPr="00E068A2" w:rsidRDefault="00E068A2" w:rsidP="00E068A2">
      <w:pPr>
        <w:numPr>
          <w:ilvl w:val="0"/>
          <w:numId w:val="2"/>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Introduction of harmonic imaging techniques.</w:t>
      </w:r>
    </w:p>
    <w:p w14:paraId="6ECD11BD" w14:textId="77777777" w:rsidR="00E068A2" w:rsidRPr="00E068A2" w:rsidRDefault="00E068A2" w:rsidP="00E068A2">
      <w:pPr>
        <w:numPr>
          <w:ilvl w:val="0"/>
          <w:numId w:val="2"/>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Dramatically improved visualization of myocardial perfusion.</w:t>
      </w:r>
    </w:p>
    <w:p w14:paraId="4C2E6A22" w14:textId="77777777" w:rsidR="00E068A2" w:rsidRPr="00E068A2" w:rsidRDefault="00E068A2" w:rsidP="00E068A2">
      <w:pPr>
        <w:numPr>
          <w:ilvl w:val="0"/>
          <w:numId w:val="2"/>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Enhanced endocardial border definition and cardiac chamber opacification.</w:t>
      </w:r>
      <w:r w:rsidRPr="00E068A2">
        <w:rPr>
          <w:rFonts w:ascii="Segoe UI" w:eastAsia="Times New Roman" w:hAnsi="Segoe UI" w:cs="Segoe UI"/>
          <w:color w:val="D20000"/>
          <w:sz w:val="21"/>
          <w:szCs w:val="21"/>
        </w:rPr>
        <w:t xml:space="preserve"> </w:t>
      </w:r>
    </w:p>
    <w:p w14:paraId="2BAA788A" w14:textId="5E0B91B1" w:rsidR="00E068A2" w:rsidRPr="00E068A2" w:rsidRDefault="00C87B87" w:rsidP="00E068A2">
      <w:pPr>
        <w:spacing w:before="100" w:beforeAutospacing="1" w:after="100" w:afterAutospacing="1" w:line="300" w:lineRule="atLeast"/>
        <w:rPr>
          <w:rFonts w:ascii="Segoe UI" w:eastAsia="Aptos" w:hAnsi="Segoe UI" w:cs="Segoe UI"/>
          <w:sz w:val="21"/>
          <w:szCs w:val="21"/>
        </w:rPr>
      </w:pPr>
      <w:r>
        <w:rPr>
          <w:rFonts w:ascii="Segoe UI" w:eastAsia="Aptos" w:hAnsi="Segoe UI" w:cs="Segoe UI"/>
          <w:sz w:val="21"/>
          <w:szCs w:val="21"/>
        </w:rPr>
        <w:t xml:space="preserve">Mounting </w:t>
      </w:r>
      <w:r w:rsidR="00E068A2" w:rsidRPr="00E068A2">
        <w:rPr>
          <w:rFonts w:ascii="Segoe UI" w:eastAsia="Aptos" w:hAnsi="Segoe UI" w:cs="Segoe UI"/>
          <w:sz w:val="21"/>
          <w:szCs w:val="21"/>
        </w:rPr>
        <w:t>evidence show</w:t>
      </w:r>
      <w:r>
        <w:rPr>
          <w:rFonts w:ascii="Segoe UI" w:eastAsia="Aptos" w:hAnsi="Segoe UI" w:cs="Segoe UI"/>
          <w:sz w:val="21"/>
          <w:szCs w:val="21"/>
        </w:rPr>
        <w:t xml:space="preserve">ed </w:t>
      </w:r>
      <w:r w:rsidR="00E068A2" w:rsidRPr="00E068A2">
        <w:rPr>
          <w:rFonts w:ascii="Segoe UI" w:eastAsia="Aptos" w:hAnsi="Segoe UI" w:cs="Segoe UI"/>
          <w:sz w:val="21"/>
          <w:szCs w:val="21"/>
        </w:rPr>
        <w:t xml:space="preserve">that contrast-enhanced echocardiography improved agreement with cardiac MRI measurements, reinforcing the technique's clinical validity and reliability. </w:t>
      </w:r>
      <w:r w:rsidR="00E068A2" w:rsidRPr="00E068A2">
        <w:rPr>
          <w:rFonts w:ascii="Segoe UI" w:eastAsia="Aptos" w:hAnsi="Segoe UI" w:cs="Segoe UI"/>
          <w:color w:val="D20000"/>
          <w:sz w:val="21"/>
          <w:szCs w:val="21"/>
        </w:rPr>
        <w:t> </w:t>
      </w:r>
    </w:p>
    <w:p w14:paraId="45DF05F9" w14:textId="77777777" w:rsidR="00E068A2" w:rsidRPr="00E068A2" w:rsidRDefault="007A594A" w:rsidP="00E068A2">
      <w:pPr>
        <w:spacing w:after="0" w:line="300" w:lineRule="atLeast"/>
        <w:jc w:val="center"/>
        <w:rPr>
          <w:rFonts w:ascii="Segoe UI" w:eastAsia="Times New Roman" w:hAnsi="Segoe UI" w:cs="Segoe UI"/>
          <w:sz w:val="21"/>
          <w:szCs w:val="21"/>
        </w:rPr>
      </w:pPr>
      <w:r>
        <w:rPr>
          <w:rFonts w:ascii="Segoe UI" w:eastAsia="Times New Roman" w:hAnsi="Segoe UI" w:cs="Segoe UI"/>
          <w:sz w:val="21"/>
          <w:szCs w:val="21"/>
        </w:rPr>
        <w:pict w14:anchorId="7022217F">
          <v:rect id="_x0000_i1027" style="width:468pt;height:1.2pt" o:hralign="center" o:hrstd="t" o:hr="t" fillcolor="#a0a0a0" stroked="f"/>
        </w:pict>
      </w:r>
    </w:p>
    <w:p w14:paraId="17F4F202" w14:textId="77777777" w:rsidR="00E068A2" w:rsidRPr="00C87B87" w:rsidRDefault="00E068A2" w:rsidP="00E068A2">
      <w:pPr>
        <w:spacing w:before="100" w:beforeAutospacing="1" w:after="100" w:afterAutospacing="1" w:line="300" w:lineRule="atLeast"/>
        <w:rPr>
          <w:rFonts w:ascii="Segoe UI" w:eastAsia="Aptos" w:hAnsi="Segoe UI" w:cs="Segoe UI"/>
          <w:b/>
          <w:bCs/>
          <w:sz w:val="28"/>
          <w:szCs w:val="28"/>
        </w:rPr>
      </w:pPr>
      <w:r w:rsidRPr="00C87B87">
        <w:rPr>
          <w:rFonts w:ascii="Segoe UI" w:eastAsia="Aptos" w:hAnsi="Segoe UI" w:cs="Segoe UI"/>
          <w:b/>
          <w:bCs/>
          <w:sz w:val="28"/>
          <w:szCs w:val="28"/>
        </w:rPr>
        <w:t>3. Expanding Clinical Applications</w:t>
      </w:r>
    </w:p>
    <w:p w14:paraId="2AF4F452" w14:textId="6C24AC39"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sz w:val="21"/>
          <w:szCs w:val="21"/>
        </w:rPr>
        <w:t xml:space="preserve">CEUS </w:t>
      </w:r>
      <w:r w:rsidR="00C87B87">
        <w:rPr>
          <w:rFonts w:ascii="Segoe UI" w:eastAsia="Aptos" w:hAnsi="Segoe UI" w:cs="Segoe UI"/>
          <w:sz w:val="21"/>
          <w:szCs w:val="21"/>
        </w:rPr>
        <w:t xml:space="preserve">continued to </w:t>
      </w:r>
      <w:r w:rsidRPr="00E068A2">
        <w:rPr>
          <w:rFonts w:ascii="Segoe UI" w:eastAsia="Aptos" w:hAnsi="Segoe UI" w:cs="Segoe UI"/>
          <w:sz w:val="21"/>
          <w:szCs w:val="21"/>
        </w:rPr>
        <w:t>evolved beyond simple cardiac chamber enhancement and became a tool for assessing:</w:t>
      </w:r>
    </w:p>
    <w:p w14:paraId="124DAD1B" w14:textId="77777777" w:rsidR="00E068A2" w:rsidRPr="00E068A2" w:rsidRDefault="00E068A2" w:rsidP="00E068A2">
      <w:pPr>
        <w:numPr>
          <w:ilvl w:val="0"/>
          <w:numId w:val="3"/>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Myocardial perfusion.</w:t>
      </w:r>
    </w:p>
    <w:p w14:paraId="48F6AAF1" w14:textId="77777777" w:rsidR="00E068A2" w:rsidRPr="00E068A2" w:rsidRDefault="00E068A2" w:rsidP="00E068A2">
      <w:pPr>
        <w:numPr>
          <w:ilvl w:val="0"/>
          <w:numId w:val="3"/>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Area at risk during acute ischemia.</w:t>
      </w:r>
    </w:p>
    <w:p w14:paraId="3A08B9FD" w14:textId="77777777" w:rsidR="00E068A2" w:rsidRPr="00E068A2" w:rsidRDefault="00E068A2" w:rsidP="00E068A2">
      <w:pPr>
        <w:numPr>
          <w:ilvl w:val="0"/>
          <w:numId w:val="3"/>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Infarct size following myocardial infarction.</w:t>
      </w:r>
    </w:p>
    <w:p w14:paraId="7BD401F6" w14:textId="77777777" w:rsidR="00E068A2" w:rsidRPr="00E068A2" w:rsidRDefault="00E068A2" w:rsidP="00E068A2">
      <w:pPr>
        <w:numPr>
          <w:ilvl w:val="0"/>
          <w:numId w:val="3"/>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 xml:space="preserve">Stress imaging and detection of coronary artery disease. </w:t>
      </w:r>
      <w:r w:rsidRPr="00E068A2">
        <w:rPr>
          <w:rFonts w:ascii="Segoe UI" w:eastAsia="Times New Roman" w:hAnsi="Segoe UI" w:cs="Segoe UI"/>
          <w:color w:val="D20000"/>
          <w:sz w:val="21"/>
          <w:szCs w:val="21"/>
        </w:rPr>
        <w:t> </w:t>
      </w:r>
    </w:p>
    <w:p w14:paraId="0F5C3F85" w14:textId="6725E8FD" w:rsidR="00E068A2" w:rsidRPr="00E068A2" w:rsidRDefault="00C87B87" w:rsidP="00E068A2">
      <w:pPr>
        <w:spacing w:before="100" w:beforeAutospacing="1" w:after="100" w:afterAutospacing="1" w:line="300" w:lineRule="atLeast"/>
        <w:rPr>
          <w:rFonts w:ascii="Segoe UI" w:eastAsia="Aptos" w:hAnsi="Segoe UI" w:cs="Segoe UI"/>
          <w:sz w:val="21"/>
          <w:szCs w:val="21"/>
        </w:rPr>
      </w:pPr>
      <w:r>
        <w:rPr>
          <w:rFonts w:ascii="Segoe UI" w:eastAsia="Aptos" w:hAnsi="Segoe UI" w:cs="Segoe UI"/>
          <w:sz w:val="21"/>
          <w:szCs w:val="21"/>
        </w:rPr>
        <w:t>Meanwhile, p</w:t>
      </w:r>
      <w:r w:rsidR="00E068A2" w:rsidRPr="00E068A2">
        <w:rPr>
          <w:rFonts w:ascii="Segoe UI" w:eastAsia="Aptos" w:hAnsi="Segoe UI" w:cs="Segoe UI"/>
          <w:sz w:val="21"/>
          <w:szCs w:val="21"/>
        </w:rPr>
        <w:t>ivotal Phase III studies compar</w:t>
      </w:r>
      <w:r>
        <w:rPr>
          <w:rFonts w:ascii="Segoe UI" w:eastAsia="Aptos" w:hAnsi="Segoe UI" w:cs="Segoe UI"/>
          <w:sz w:val="21"/>
          <w:szCs w:val="21"/>
        </w:rPr>
        <w:t>ed</w:t>
      </w:r>
      <w:r w:rsidR="00E068A2" w:rsidRPr="00E068A2">
        <w:rPr>
          <w:rFonts w:ascii="Segoe UI" w:eastAsia="Aptos" w:hAnsi="Segoe UI" w:cs="Segoe UI"/>
          <w:sz w:val="21"/>
          <w:szCs w:val="21"/>
        </w:rPr>
        <w:t xml:space="preserve"> myocardial contrast echocardiography with established nuclear imaging techniques such as SPECT, illustrating both the promise and challenges of bringing these innovations into routine clinical practice. </w:t>
      </w:r>
      <w:r w:rsidR="00E068A2" w:rsidRPr="00E068A2">
        <w:rPr>
          <w:rFonts w:ascii="Segoe UI" w:eastAsia="Aptos" w:hAnsi="Segoe UI" w:cs="Segoe UI"/>
          <w:color w:val="D20000"/>
          <w:sz w:val="21"/>
          <w:szCs w:val="21"/>
        </w:rPr>
        <w:t> </w:t>
      </w:r>
    </w:p>
    <w:p w14:paraId="60FD7C40" w14:textId="77777777" w:rsidR="00E068A2" w:rsidRPr="00E068A2" w:rsidRDefault="007A594A" w:rsidP="00E068A2">
      <w:pPr>
        <w:spacing w:after="0" w:line="300" w:lineRule="atLeast"/>
        <w:jc w:val="center"/>
        <w:rPr>
          <w:rFonts w:ascii="Segoe UI" w:eastAsia="Times New Roman" w:hAnsi="Segoe UI" w:cs="Segoe UI"/>
          <w:sz w:val="21"/>
          <w:szCs w:val="21"/>
        </w:rPr>
      </w:pPr>
      <w:r>
        <w:rPr>
          <w:rFonts w:ascii="Segoe UI" w:eastAsia="Times New Roman" w:hAnsi="Segoe UI" w:cs="Segoe UI"/>
          <w:sz w:val="21"/>
          <w:szCs w:val="21"/>
        </w:rPr>
        <w:pict w14:anchorId="686BEDBC">
          <v:rect id="_x0000_i1028" style="width:468pt;height:1.2pt" o:hralign="center" o:hrstd="t" o:hr="t" fillcolor="#a0a0a0" stroked="f"/>
        </w:pict>
      </w:r>
    </w:p>
    <w:p w14:paraId="77948028" w14:textId="77777777" w:rsidR="00E068A2" w:rsidRPr="00C87B87" w:rsidRDefault="00E068A2" w:rsidP="00E068A2">
      <w:pPr>
        <w:spacing w:before="100" w:beforeAutospacing="1" w:after="100" w:afterAutospacing="1" w:line="300" w:lineRule="atLeast"/>
        <w:rPr>
          <w:rFonts w:ascii="Segoe UI" w:eastAsia="Aptos" w:hAnsi="Segoe UI" w:cs="Segoe UI"/>
          <w:b/>
          <w:bCs/>
          <w:sz w:val="28"/>
          <w:szCs w:val="28"/>
        </w:rPr>
      </w:pPr>
      <w:r w:rsidRPr="00C87B87">
        <w:rPr>
          <w:rFonts w:ascii="Segoe UI" w:eastAsia="Aptos" w:hAnsi="Segoe UI" w:cs="Segoe UI"/>
          <w:b/>
          <w:bCs/>
          <w:sz w:val="28"/>
          <w:szCs w:val="28"/>
        </w:rPr>
        <w:t>4. The FDA Boxed Warning Crisis</w:t>
      </w:r>
    </w:p>
    <w:p w14:paraId="170587BA" w14:textId="0264CBFD"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sz w:val="21"/>
          <w:szCs w:val="21"/>
        </w:rPr>
        <w:t xml:space="preserve">One of the most important historical moments </w:t>
      </w:r>
      <w:r w:rsidR="00C87B87">
        <w:rPr>
          <w:rFonts w:ascii="Segoe UI" w:eastAsia="Aptos" w:hAnsi="Segoe UI" w:cs="Segoe UI"/>
          <w:sz w:val="21"/>
          <w:szCs w:val="21"/>
        </w:rPr>
        <w:t xml:space="preserve">occurred in October 2007 with the U.S. Food and Drug Administration (FDA) imposed </w:t>
      </w:r>
      <w:r w:rsidRPr="00E068A2">
        <w:rPr>
          <w:rFonts w:ascii="Segoe UI" w:eastAsia="Aptos" w:hAnsi="Segoe UI" w:cs="Segoe UI"/>
          <w:sz w:val="21"/>
          <w:szCs w:val="21"/>
        </w:rPr>
        <w:t xml:space="preserve">boxed warnings on Definity and </w:t>
      </w:r>
      <w:proofErr w:type="spellStart"/>
      <w:r w:rsidRPr="00E068A2">
        <w:rPr>
          <w:rFonts w:ascii="Segoe UI" w:eastAsia="Aptos" w:hAnsi="Segoe UI" w:cs="Segoe UI"/>
          <w:sz w:val="21"/>
          <w:szCs w:val="21"/>
        </w:rPr>
        <w:t>Optison</w:t>
      </w:r>
      <w:proofErr w:type="spellEnd"/>
      <w:r w:rsidR="00C87B87">
        <w:rPr>
          <w:rFonts w:ascii="Segoe UI" w:eastAsia="Aptos" w:hAnsi="Segoe UI" w:cs="Segoe UI"/>
          <w:sz w:val="21"/>
          <w:szCs w:val="21"/>
        </w:rPr>
        <w:t xml:space="preserve">, </w:t>
      </w:r>
      <w:r w:rsidR="009A0FE4">
        <w:rPr>
          <w:rFonts w:ascii="Segoe UI" w:eastAsia="Aptos" w:hAnsi="Segoe UI" w:cs="Segoe UI"/>
          <w:sz w:val="21"/>
          <w:szCs w:val="21"/>
        </w:rPr>
        <w:t xml:space="preserve">which at the time were </w:t>
      </w:r>
      <w:r w:rsidR="00C87B87">
        <w:rPr>
          <w:rFonts w:ascii="Segoe UI" w:eastAsia="Aptos" w:hAnsi="Segoe UI" w:cs="Segoe UI"/>
          <w:sz w:val="21"/>
          <w:szCs w:val="21"/>
        </w:rPr>
        <w:t xml:space="preserve">the only two commercially available </w:t>
      </w:r>
      <w:r w:rsidR="009A0FE4">
        <w:rPr>
          <w:rFonts w:ascii="Segoe UI" w:eastAsia="Aptos" w:hAnsi="Segoe UI" w:cs="Segoe UI"/>
          <w:sz w:val="21"/>
          <w:szCs w:val="21"/>
        </w:rPr>
        <w:t>ultrasound contrast agents</w:t>
      </w:r>
      <w:r w:rsidRPr="00E068A2">
        <w:rPr>
          <w:rFonts w:ascii="Segoe UI" w:eastAsia="Aptos" w:hAnsi="Segoe UI" w:cs="Segoe UI"/>
          <w:sz w:val="21"/>
          <w:szCs w:val="21"/>
        </w:rPr>
        <w:t>.</w:t>
      </w:r>
    </w:p>
    <w:p w14:paraId="4A34B486" w14:textId="77777777"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sz w:val="21"/>
          <w:szCs w:val="21"/>
        </w:rPr>
        <w:t>The FDA actions included:</w:t>
      </w:r>
    </w:p>
    <w:p w14:paraId="62FE5D3B" w14:textId="43A39840" w:rsidR="00E068A2" w:rsidRPr="00E068A2" w:rsidRDefault="009A0FE4" w:rsidP="00E068A2">
      <w:pPr>
        <w:numPr>
          <w:ilvl w:val="0"/>
          <w:numId w:val="4"/>
        </w:numPr>
        <w:spacing w:before="100" w:beforeAutospacing="1" w:after="100" w:afterAutospacing="1" w:line="300" w:lineRule="atLeast"/>
        <w:rPr>
          <w:rFonts w:ascii="Segoe UI" w:eastAsia="Times New Roman" w:hAnsi="Segoe UI" w:cs="Segoe UI"/>
          <w:sz w:val="21"/>
          <w:szCs w:val="21"/>
        </w:rPr>
      </w:pPr>
      <w:r>
        <w:rPr>
          <w:rFonts w:ascii="Segoe UI" w:eastAsia="Times New Roman" w:hAnsi="Segoe UI" w:cs="Segoe UI"/>
          <w:sz w:val="21"/>
          <w:szCs w:val="21"/>
        </w:rPr>
        <w:t>Boxed</w:t>
      </w:r>
      <w:r w:rsidR="00E068A2" w:rsidRPr="00E068A2">
        <w:rPr>
          <w:rFonts w:ascii="Segoe UI" w:eastAsia="Times New Roman" w:hAnsi="Segoe UI" w:cs="Segoe UI"/>
          <w:sz w:val="21"/>
          <w:szCs w:val="21"/>
        </w:rPr>
        <w:t xml:space="preserve"> warnings concerning serious cardiopulmonary reactions.</w:t>
      </w:r>
    </w:p>
    <w:p w14:paraId="534B977E" w14:textId="40FFC5EE" w:rsidR="00E068A2" w:rsidRPr="00E068A2" w:rsidRDefault="009A0FE4" w:rsidP="00E068A2">
      <w:pPr>
        <w:numPr>
          <w:ilvl w:val="0"/>
          <w:numId w:val="4"/>
        </w:numPr>
        <w:spacing w:before="100" w:beforeAutospacing="1" w:after="100" w:afterAutospacing="1" w:line="300" w:lineRule="atLeast"/>
        <w:rPr>
          <w:rFonts w:ascii="Segoe UI" w:eastAsia="Times New Roman" w:hAnsi="Segoe UI" w:cs="Segoe UI"/>
          <w:sz w:val="21"/>
          <w:szCs w:val="21"/>
        </w:rPr>
      </w:pPr>
      <w:r>
        <w:rPr>
          <w:rFonts w:ascii="Segoe UI" w:eastAsia="Times New Roman" w:hAnsi="Segoe UI" w:cs="Segoe UI"/>
          <w:sz w:val="21"/>
          <w:szCs w:val="21"/>
        </w:rPr>
        <w:t>C</w:t>
      </w:r>
      <w:r w:rsidR="00E068A2" w:rsidRPr="00E068A2">
        <w:rPr>
          <w:rFonts w:ascii="Segoe UI" w:eastAsia="Times New Roman" w:hAnsi="Segoe UI" w:cs="Segoe UI"/>
          <w:sz w:val="21"/>
          <w:szCs w:val="21"/>
        </w:rPr>
        <w:t>ontraindications involving unstable cardiovascular and pulmonary conditions.</w:t>
      </w:r>
    </w:p>
    <w:p w14:paraId="15FFAEAB" w14:textId="77777777" w:rsidR="00E068A2" w:rsidRPr="00E068A2" w:rsidRDefault="00E068A2" w:rsidP="00E068A2">
      <w:pPr>
        <w:numPr>
          <w:ilvl w:val="0"/>
          <w:numId w:val="4"/>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 xml:space="preserve">A mandatory 30-minute post-administration monitoring period. </w:t>
      </w:r>
      <w:r w:rsidRPr="00E068A2">
        <w:rPr>
          <w:rFonts w:ascii="Segoe UI" w:eastAsia="Times New Roman" w:hAnsi="Segoe UI" w:cs="Segoe UI"/>
          <w:color w:val="D20000"/>
          <w:sz w:val="21"/>
          <w:szCs w:val="21"/>
        </w:rPr>
        <w:t> </w:t>
      </w:r>
    </w:p>
    <w:p w14:paraId="0CDC8D32" w14:textId="21A9C00A"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sz w:val="21"/>
          <w:szCs w:val="21"/>
        </w:rPr>
        <w:lastRenderedPageBreak/>
        <w:t xml:space="preserve">Dr. Main described the reaction from the contrast ultrasound community, which </w:t>
      </w:r>
      <w:r w:rsidR="009A0FE4">
        <w:rPr>
          <w:rFonts w:ascii="Segoe UI" w:eastAsia="Aptos" w:hAnsi="Segoe UI" w:cs="Segoe UI"/>
          <w:sz w:val="21"/>
          <w:szCs w:val="21"/>
        </w:rPr>
        <w:t>was concerned</w:t>
      </w:r>
      <w:r w:rsidRPr="00E068A2">
        <w:rPr>
          <w:rFonts w:ascii="Segoe UI" w:eastAsia="Aptos" w:hAnsi="Segoe UI" w:cs="Segoe UI"/>
          <w:sz w:val="21"/>
          <w:szCs w:val="21"/>
        </w:rPr>
        <w:t xml:space="preserve"> that the </w:t>
      </w:r>
      <w:r w:rsidR="009A0FE4">
        <w:rPr>
          <w:rFonts w:ascii="Segoe UI" w:eastAsia="Aptos" w:hAnsi="Segoe UI" w:cs="Segoe UI"/>
          <w:sz w:val="21"/>
          <w:szCs w:val="21"/>
        </w:rPr>
        <w:t>new “black box”</w:t>
      </w:r>
      <w:r w:rsidR="008E03AA">
        <w:rPr>
          <w:rFonts w:ascii="Segoe UI" w:eastAsia="Aptos" w:hAnsi="Segoe UI" w:cs="Segoe UI"/>
          <w:sz w:val="21"/>
          <w:szCs w:val="21"/>
        </w:rPr>
        <w:t xml:space="preserve"> </w:t>
      </w:r>
      <w:r w:rsidRPr="00E068A2">
        <w:rPr>
          <w:rFonts w:ascii="Segoe UI" w:eastAsia="Aptos" w:hAnsi="Segoe UI" w:cs="Segoe UI"/>
          <w:sz w:val="21"/>
          <w:szCs w:val="21"/>
        </w:rPr>
        <w:t xml:space="preserve">did not reflect the established safety and benefits of the agents. </w:t>
      </w:r>
      <w:r w:rsidR="008E03AA">
        <w:rPr>
          <w:rFonts w:ascii="Segoe UI" w:eastAsia="Aptos" w:hAnsi="Segoe UI" w:cs="Segoe UI"/>
          <w:sz w:val="21"/>
          <w:szCs w:val="21"/>
        </w:rPr>
        <w:t xml:space="preserve"> CEUS experts </w:t>
      </w:r>
      <w:r w:rsidRPr="00E068A2">
        <w:rPr>
          <w:rFonts w:ascii="Segoe UI" w:eastAsia="Aptos" w:hAnsi="Segoe UI" w:cs="Segoe UI"/>
          <w:sz w:val="21"/>
          <w:szCs w:val="21"/>
        </w:rPr>
        <w:t xml:space="preserve"> formally requested FDA reconsideration and advisory review.</w:t>
      </w:r>
      <w:r w:rsidRPr="00E068A2">
        <w:rPr>
          <w:rFonts w:ascii="Segoe UI" w:eastAsia="Aptos" w:hAnsi="Segoe UI" w:cs="Segoe UI"/>
          <w:color w:val="D20000"/>
          <w:sz w:val="21"/>
          <w:szCs w:val="21"/>
        </w:rPr>
        <w:t xml:space="preserve"> </w:t>
      </w:r>
    </w:p>
    <w:p w14:paraId="04217E0D" w14:textId="2892F035" w:rsidR="00E068A2" w:rsidRPr="00E068A2" w:rsidRDefault="00E068A2" w:rsidP="00E068A2">
      <w:pPr>
        <w:spacing w:before="100" w:beforeAutospacing="1" w:after="100" w:afterAutospacing="1" w:line="300" w:lineRule="atLeast"/>
        <w:rPr>
          <w:rFonts w:ascii="Segoe UI" w:eastAsia="Aptos" w:hAnsi="Segoe UI" w:cs="Segoe UI"/>
          <w:color w:val="D20000"/>
          <w:sz w:val="21"/>
          <w:szCs w:val="21"/>
        </w:rPr>
      </w:pPr>
      <w:r w:rsidRPr="00E068A2">
        <w:rPr>
          <w:rFonts w:ascii="Segoe UI" w:eastAsia="Aptos" w:hAnsi="Segoe UI" w:cs="Segoe UI"/>
          <w:sz w:val="21"/>
          <w:szCs w:val="21"/>
        </w:rPr>
        <w:t xml:space="preserve">Subsequent research, including large meta-analyses, demonstrated no significant increase in adverse cardiovascular events associated with ultrasound contrast agents, helping </w:t>
      </w:r>
      <w:r w:rsidR="00AA7D25">
        <w:rPr>
          <w:rFonts w:ascii="Segoe UI" w:eastAsia="Aptos" w:hAnsi="Segoe UI" w:cs="Segoe UI"/>
          <w:sz w:val="21"/>
          <w:szCs w:val="21"/>
        </w:rPr>
        <w:t xml:space="preserve">to </w:t>
      </w:r>
      <w:r w:rsidRPr="00E068A2">
        <w:rPr>
          <w:rFonts w:ascii="Segoe UI" w:eastAsia="Aptos" w:hAnsi="Segoe UI" w:cs="Segoe UI"/>
          <w:sz w:val="21"/>
          <w:szCs w:val="21"/>
        </w:rPr>
        <w:t xml:space="preserve">support eventual regulatory modifications. </w:t>
      </w:r>
      <w:r w:rsidRPr="00E068A2">
        <w:rPr>
          <w:rFonts w:ascii="Segoe UI" w:eastAsia="Aptos" w:hAnsi="Segoe UI" w:cs="Segoe UI"/>
          <w:color w:val="D20000"/>
          <w:sz w:val="21"/>
          <w:szCs w:val="21"/>
        </w:rPr>
        <w:t> </w:t>
      </w:r>
    </w:p>
    <w:p w14:paraId="13ED65C2" w14:textId="77777777" w:rsidR="00E068A2" w:rsidRPr="00E068A2" w:rsidRDefault="00E068A2" w:rsidP="00E068A2">
      <w:pPr>
        <w:spacing w:after="0" w:line="300" w:lineRule="atLeast"/>
        <w:rPr>
          <w:rFonts w:ascii="Segoe UI" w:eastAsia="Aptos" w:hAnsi="Segoe UI" w:cs="Segoe UI"/>
          <w:sz w:val="21"/>
          <w:szCs w:val="21"/>
        </w:rPr>
      </w:pPr>
      <w:r w:rsidRPr="00E068A2">
        <w:rPr>
          <w:rFonts w:ascii="Segoe UI" w:eastAsia="Aptos" w:hAnsi="Segoe UI" w:cs="Segoe UI"/>
          <w:noProof/>
          <w:color w:val="D20000"/>
          <w:sz w:val="21"/>
          <w:szCs w:val="21"/>
        </w:rPr>
        <w:drawing>
          <wp:inline distT="0" distB="0" distL="0" distR="0" wp14:anchorId="5118A3C4" wp14:editId="394F7C68">
            <wp:extent cx="7721600" cy="5334000"/>
            <wp:effectExtent l="0" t="0" r="1270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721600" cy="5334000"/>
                    </a:xfrm>
                    <a:prstGeom prst="rect">
                      <a:avLst/>
                    </a:prstGeom>
                    <a:noFill/>
                    <a:ln>
                      <a:noFill/>
                    </a:ln>
                  </pic:spPr>
                </pic:pic>
              </a:graphicData>
            </a:graphic>
          </wp:inline>
        </w:drawing>
      </w:r>
    </w:p>
    <w:p w14:paraId="15657D53" w14:textId="77777777" w:rsidR="00E068A2" w:rsidRPr="00E068A2" w:rsidRDefault="00E068A2" w:rsidP="00E068A2">
      <w:pPr>
        <w:spacing w:after="0" w:line="300" w:lineRule="atLeast"/>
        <w:rPr>
          <w:rFonts w:ascii="Segoe UI" w:eastAsia="Aptos" w:hAnsi="Segoe UI" w:cs="Segoe UI"/>
          <w:sz w:val="21"/>
          <w:szCs w:val="21"/>
        </w:rPr>
      </w:pPr>
    </w:p>
    <w:p w14:paraId="71859551" w14:textId="77777777" w:rsidR="00E068A2" w:rsidRPr="00E068A2" w:rsidRDefault="00E068A2" w:rsidP="00E068A2">
      <w:pPr>
        <w:spacing w:after="0" w:line="300" w:lineRule="atLeast"/>
        <w:rPr>
          <w:rFonts w:ascii="Segoe UI" w:eastAsia="Aptos" w:hAnsi="Segoe UI" w:cs="Segoe UI"/>
          <w:sz w:val="21"/>
          <w:szCs w:val="21"/>
        </w:rPr>
      </w:pPr>
      <w:r w:rsidRPr="00E068A2">
        <w:rPr>
          <w:rFonts w:ascii="Segoe UI" w:eastAsia="Aptos" w:hAnsi="Segoe UI" w:cs="Segoe UI"/>
          <w:noProof/>
          <w:sz w:val="21"/>
          <w:szCs w:val="21"/>
        </w:rPr>
        <w:lastRenderedPageBreak/>
        <w:drawing>
          <wp:inline distT="0" distB="0" distL="0" distR="0" wp14:anchorId="39647254" wp14:editId="5D82E478">
            <wp:extent cx="8337550" cy="4692650"/>
            <wp:effectExtent l="0" t="0" r="6350" b="1270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8337550" cy="4692650"/>
                    </a:xfrm>
                    <a:prstGeom prst="rect">
                      <a:avLst/>
                    </a:prstGeom>
                    <a:noFill/>
                    <a:ln>
                      <a:noFill/>
                    </a:ln>
                  </pic:spPr>
                </pic:pic>
              </a:graphicData>
            </a:graphic>
          </wp:inline>
        </w:drawing>
      </w:r>
    </w:p>
    <w:p w14:paraId="2CBE3F29" w14:textId="77777777" w:rsidR="00E068A2" w:rsidRPr="00E068A2" w:rsidRDefault="007A594A" w:rsidP="00E068A2">
      <w:pPr>
        <w:spacing w:after="0" w:line="300" w:lineRule="atLeast"/>
        <w:jc w:val="center"/>
        <w:rPr>
          <w:rFonts w:ascii="Segoe UI" w:eastAsia="Times New Roman" w:hAnsi="Segoe UI" w:cs="Segoe UI"/>
          <w:sz w:val="21"/>
          <w:szCs w:val="21"/>
        </w:rPr>
      </w:pPr>
      <w:r>
        <w:rPr>
          <w:rFonts w:ascii="Segoe UI" w:eastAsia="Times New Roman" w:hAnsi="Segoe UI" w:cs="Segoe UI"/>
          <w:sz w:val="21"/>
          <w:szCs w:val="21"/>
        </w:rPr>
        <w:pict w14:anchorId="0F8C3505">
          <v:rect id="_x0000_i1029" style="width:468pt;height:1.2pt" o:hralign="center" o:hrstd="t" o:hr="t" fillcolor="#a0a0a0" stroked="f"/>
        </w:pict>
      </w:r>
    </w:p>
    <w:p w14:paraId="1989CFC1" w14:textId="77777777" w:rsidR="00E068A2" w:rsidRPr="00AA7D25" w:rsidRDefault="00E068A2" w:rsidP="00E068A2">
      <w:pPr>
        <w:spacing w:before="100" w:beforeAutospacing="1" w:after="100" w:afterAutospacing="1" w:line="300" w:lineRule="atLeast"/>
        <w:rPr>
          <w:rFonts w:ascii="Segoe UI" w:eastAsia="Aptos" w:hAnsi="Segoe UI" w:cs="Segoe UI"/>
          <w:b/>
          <w:bCs/>
          <w:sz w:val="28"/>
          <w:szCs w:val="28"/>
        </w:rPr>
      </w:pPr>
      <w:r w:rsidRPr="00AA7D25">
        <w:rPr>
          <w:rFonts w:ascii="Segoe UI" w:eastAsia="Aptos" w:hAnsi="Segoe UI" w:cs="Segoe UI"/>
          <w:b/>
          <w:bCs/>
          <w:sz w:val="28"/>
          <w:szCs w:val="28"/>
        </w:rPr>
        <w:t>5. A Turning Point: From Cardiology to Multidisciplinary Ultrasound</w:t>
      </w:r>
    </w:p>
    <w:p w14:paraId="54A2539B" w14:textId="7445AEED" w:rsidR="00E068A2" w:rsidRPr="00E068A2" w:rsidRDefault="00AA7D25" w:rsidP="00B67391">
      <w:pPr>
        <w:spacing w:before="100" w:beforeAutospacing="1" w:after="100" w:afterAutospacing="1" w:line="300" w:lineRule="atLeast"/>
        <w:rPr>
          <w:rFonts w:ascii="Segoe UI" w:eastAsia="Times New Roman" w:hAnsi="Segoe UI" w:cs="Segoe UI"/>
          <w:sz w:val="21"/>
          <w:szCs w:val="21"/>
        </w:rPr>
      </w:pPr>
      <w:r>
        <w:rPr>
          <w:rFonts w:ascii="Segoe UI" w:eastAsia="Aptos" w:hAnsi="Segoe UI" w:cs="Segoe UI"/>
          <w:sz w:val="21"/>
          <w:szCs w:val="21"/>
        </w:rPr>
        <w:t>The</w:t>
      </w:r>
      <w:r w:rsidR="001C4E83">
        <w:rPr>
          <w:rFonts w:ascii="Segoe UI" w:eastAsia="Aptos" w:hAnsi="Segoe UI" w:cs="Segoe UI"/>
          <w:sz w:val="21"/>
          <w:szCs w:val="21"/>
        </w:rPr>
        <w:t xml:space="preserve"> new “black box” triggered broader awareness of </w:t>
      </w:r>
      <w:r w:rsidR="00FA096C">
        <w:rPr>
          <w:rFonts w:ascii="Segoe UI" w:eastAsia="Aptos" w:hAnsi="Segoe UI" w:cs="Segoe UI"/>
          <w:sz w:val="21"/>
          <w:szCs w:val="21"/>
        </w:rPr>
        <w:t>CEUS uses for a broad range of indications extending</w:t>
      </w:r>
      <w:r w:rsidR="00E068A2" w:rsidRPr="00E068A2">
        <w:rPr>
          <w:rFonts w:ascii="Segoe UI" w:eastAsia="Aptos" w:hAnsi="Segoe UI" w:cs="Segoe UI"/>
          <w:sz w:val="21"/>
          <w:szCs w:val="21"/>
        </w:rPr>
        <w:t xml:space="preserve"> far beyond cardiology</w:t>
      </w:r>
      <w:r w:rsidR="00B67391">
        <w:rPr>
          <w:rFonts w:ascii="Segoe UI" w:eastAsia="Aptos" w:hAnsi="Segoe UI" w:cs="Segoe UI"/>
          <w:sz w:val="21"/>
          <w:szCs w:val="21"/>
        </w:rPr>
        <w:t xml:space="preserve">, and the 2008 Bubble Conference welcomed CEUS experts from: </w:t>
      </w:r>
      <w:r w:rsidR="00FA096C">
        <w:rPr>
          <w:rFonts w:ascii="Segoe UI" w:eastAsia="Aptos" w:hAnsi="Segoe UI" w:cs="Segoe UI"/>
          <w:sz w:val="21"/>
          <w:szCs w:val="21"/>
        </w:rPr>
        <w:t xml:space="preserve"> </w:t>
      </w:r>
      <w:r w:rsidR="00E068A2" w:rsidRPr="00E068A2">
        <w:rPr>
          <w:rFonts w:ascii="Segoe UI" w:eastAsia="Times New Roman" w:hAnsi="Segoe UI" w:cs="Segoe UI"/>
          <w:sz w:val="21"/>
          <w:szCs w:val="21"/>
        </w:rPr>
        <w:t>Radiology</w:t>
      </w:r>
    </w:p>
    <w:p w14:paraId="726E549F" w14:textId="77777777" w:rsidR="00E068A2" w:rsidRPr="00E068A2" w:rsidRDefault="00E068A2" w:rsidP="00E068A2">
      <w:pPr>
        <w:numPr>
          <w:ilvl w:val="0"/>
          <w:numId w:val="5"/>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Vascular imaging</w:t>
      </w:r>
    </w:p>
    <w:p w14:paraId="0DB14682" w14:textId="77777777" w:rsidR="00E068A2" w:rsidRPr="00E068A2" w:rsidRDefault="00E068A2" w:rsidP="00E068A2">
      <w:pPr>
        <w:numPr>
          <w:ilvl w:val="0"/>
          <w:numId w:val="5"/>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Gastroenterology</w:t>
      </w:r>
    </w:p>
    <w:p w14:paraId="64EAAEAF" w14:textId="77777777" w:rsidR="00E068A2" w:rsidRPr="00E068A2" w:rsidRDefault="00E068A2" w:rsidP="00E068A2">
      <w:pPr>
        <w:numPr>
          <w:ilvl w:val="0"/>
          <w:numId w:val="5"/>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Pediatrics</w:t>
      </w:r>
    </w:p>
    <w:p w14:paraId="1A3C5807" w14:textId="77777777" w:rsidR="00E068A2" w:rsidRPr="00E068A2" w:rsidRDefault="00E068A2" w:rsidP="00E068A2">
      <w:pPr>
        <w:numPr>
          <w:ilvl w:val="0"/>
          <w:numId w:val="5"/>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Oncology</w:t>
      </w:r>
    </w:p>
    <w:p w14:paraId="1809BFF7" w14:textId="77777777" w:rsidR="00E068A2" w:rsidRPr="00E068A2" w:rsidRDefault="00E068A2" w:rsidP="00E068A2">
      <w:pPr>
        <w:numPr>
          <w:ilvl w:val="0"/>
          <w:numId w:val="5"/>
        </w:numPr>
        <w:spacing w:before="100" w:beforeAutospacing="1" w:after="100" w:afterAutospacing="1" w:line="300" w:lineRule="atLeast"/>
        <w:rPr>
          <w:rFonts w:ascii="Segoe UI" w:eastAsia="Times New Roman" w:hAnsi="Segoe UI" w:cs="Segoe UI"/>
          <w:sz w:val="21"/>
          <w:szCs w:val="21"/>
        </w:rPr>
      </w:pPr>
      <w:r w:rsidRPr="00E068A2">
        <w:rPr>
          <w:rFonts w:ascii="Segoe UI" w:eastAsia="Times New Roman" w:hAnsi="Segoe UI" w:cs="Segoe UI"/>
          <w:sz w:val="21"/>
          <w:szCs w:val="21"/>
        </w:rPr>
        <w:t>Abdominal imaging and other specialties</w:t>
      </w:r>
      <w:r w:rsidRPr="00E068A2">
        <w:rPr>
          <w:rFonts w:ascii="Segoe UI" w:eastAsia="Times New Roman" w:hAnsi="Segoe UI" w:cs="Segoe UI"/>
          <w:color w:val="D20000"/>
          <w:sz w:val="21"/>
          <w:szCs w:val="21"/>
        </w:rPr>
        <w:t xml:space="preserve"> </w:t>
      </w:r>
    </w:p>
    <w:p w14:paraId="49161BC8" w14:textId="39455312" w:rsidR="00E068A2" w:rsidRPr="00E068A2" w:rsidRDefault="00B67391" w:rsidP="00E068A2">
      <w:pPr>
        <w:spacing w:before="100" w:beforeAutospacing="1" w:after="100" w:afterAutospacing="1" w:line="300" w:lineRule="atLeast"/>
        <w:rPr>
          <w:rFonts w:ascii="Segoe UI" w:eastAsia="Aptos" w:hAnsi="Segoe UI" w:cs="Segoe UI"/>
          <w:color w:val="D20000"/>
          <w:sz w:val="21"/>
          <w:szCs w:val="21"/>
        </w:rPr>
      </w:pPr>
      <w:r>
        <w:rPr>
          <w:rFonts w:ascii="Segoe UI" w:eastAsia="Aptos" w:hAnsi="Segoe UI" w:cs="Segoe UI"/>
          <w:sz w:val="21"/>
          <w:szCs w:val="21"/>
        </w:rPr>
        <w:t xml:space="preserve">In opening the 2008 meeting, Conference Director Dr. Steven Feinstein emphasized </w:t>
      </w:r>
      <w:r w:rsidR="00E068A2" w:rsidRPr="00E068A2">
        <w:rPr>
          <w:rFonts w:ascii="Segoe UI" w:eastAsia="Aptos" w:hAnsi="Segoe UI" w:cs="Segoe UI"/>
          <w:sz w:val="21"/>
          <w:szCs w:val="21"/>
        </w:rPr>
        <w:t>the need for greater cross-specialty collaboration</w:t>
      </w:r>
      <w:r>
        <w:rPr>
          <w:rFonts w:ascii="Segoe UI" w:eastAsia="Aptos" w:hAnsi="Segoe UI" w:cs="Segoe UI"/>
          <w:sz w:val="21"/>
          <w:szCs w:val="21"/>
        </w:rPr>
        <w:t xml:space="preserve"> and launched the International Contrast Ultrasound Society as a new voice for the broader multi-disciplinary global CEUS field.  </w:t>
      </w:r>
    </w:p>
    <w:p w14:paraId="70349235" w14:textId="77777777" w:rsidR="00E068A2" w:rsidRPr="00E068A2" w:rsidRDefault="00E068A2" w:rsidP="00E068A2">
      <w:pPr>
        <w:spacing w:before="100" w:beforeAutospacing="1" w:after="100" w:afterAutospacing="1" w:line="300" w:lineRule="atLeast"/>
        <w:rPr>
          <w:rFonts w:ascii="Segoe UI" w:eastAsia="Aptos" w:hAnsi="Segoe UI" w:cs="Segoe UI"/>
          <w:color w:val="D20000"/>
          <w:sz w:val="21"/>
          <w:szCs w:val="21"/>
        </w:rPr>
      </w:pPr>
    </w:p>
    <w:p w14:paraId="2BD9F131" w14:textId="77777777"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noProof/>
          <w:sz w:val="21"/>
          <w:szCs w:val="21"/>
        </w:rPr>
        <w:drawing>
          <wp:inline distT="0" distB="0" distL="0" distR="0" wp14:anchorId="0183B547" wp14:editId="34CE0490">
            <wp:extent cx="9798050" cy="4578350"/>
            <wp:effectExtent l="0" t="0" r="12700" b="1270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9798050" cy="4578350"/>
                    </a:xfrm>
                    <a:prstGeom prst="rect">
                      <a:avLst/>
                    </a:prstGeom>
                    <a:noFill/>
                    <a:ln>
                      <a:noFill/>
                    </a:ln>
                  </pic:spPr>
                </pic:pic>
              </a:graphicData>
            </a:graphic>
          </wp:inline>
        </w:drawing>
      </w:r>
    </w:p>
    <w:p w14:paraId="6306BB0B" w14:textId="77777777" w:rsidR="00E068A2" w:rsidRPr="00E068A2" w:rsidRDefault="007A594A" w:rsidP="00E068A2">
      <w:pPr>
        <w:spacing w:after="0" w:line="300" w:lineRule="atLeast"/>
        <w:jc w:val="center"/>
        <w:rPr>
          <w:rFonts w:ascii="Segoe UI" w:eastAsia="Times New Roman" w:hAnsi="Segoe UI" w:cs="Segoe UI"/>
          <w:sz w:val="21"/>
          <w:szCs w:val="21"/>
        </w:rPr>
      </w:pPr>
      <w:r>
        <w:rPr>
          <w:rFonts w:ascii="Segoe UI" w:eastAsia="Times New Roman" w:hAnsi="Segoe UI" w:cs="Segoe UI"/>
          <w:sz w:val="21"/>
          <w:szCs w:val="21"/>
        </w:rPr>
        <w:pict w14:anchorId="10DAADA0">
          <v:rect id="_x0000_i1030" style="width:468pt;height:1.2pt" o:hralign="center" o:hrstd="t" o:hr="t" fillcolor="#a0a0a0" stroked="f"/>
        </w:pict>
      </w:r>
    </w:p>
    <w:p w14:paraId="14427176" w14:textId="77777777" w:rsidR="00E068A2" w:rsidRPr="00B67391" w:rsidRDefault="00E068A2" w:rsidP="00E068A2">
      <w:pPr>
        <w:spacing w:before="100" w:beforeAutospacing="1" w:after="100" w:afterAutospacing="1" w:line="300" w:lineRule="atLeast"/>
        <w:rPr>
          <w:rFonts w:ascii="Segoe UI" w:eastAsia="Aptos" w:hAnsi="Segoe UI" w:cs="Segoe UI"/>
          <w:b/>
          <w:bCs/>
          <w:sz w:val="28"/>
          <w:szCs w:val="28"/>
        </w:rPr>
      </w:pPr>
      <w:r w:rsidRPr="00B67391">
        <w:rPr>
          <w:rFonts w:ascii="Segoe UI" w:eastAsia="Aptos" w:hAnsi="Segoe UI" w:cs="Segoe UI"/>
          <w:b/>
          <w:bCs/>
          <w:sz w:val="28"/>
          <w:szCs w:val="28"/>
        </w:rPr>
        <w:t>6. The Four Enduring Themes of the Bubble Conference</w:t>
      </w:r>
    </w:p>
    <w:p w14:paraId="540774E3" w14:textId="3D678335"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sz w:val="21"/>
          <w:szCs w:val="21"/>
        </w:rPr>
        <w:t xml:space="preserve">Dr. Main identified four principles that have sustained the </w:t>
      </w:r>
      <w:r w:rsidR="00B67391">
        <w:rPr>
          <w:rFonts w:ascii="Segoe UI" w:eastAsia="Aptos" w:hAnsi="Segoe UI" w:cs="Segoe UI"/>
          <w:sz w:val="21"/>
          <w:szCs w:val="21"/>
        </w:rPr>
        <w:t>Bubble C</w:t>
      </w:r>
      <w:r w:rsidRPr="00E068A2">
        <w:rPr>
          <w:rFonts w:ascii="Segoe UI" w:eastAsia="Aptos" w:hAnsi="Segoe UI" w:cs="Segoe UI"/>
          <w:sz w:val="21"/>
          <w:szCs w:val="21"/>
        </w:rPr>
        <w:t xml:space="preserve">onference and the CEUS community </w:t>
      </w:r>
      <w:r w:rsidR="00B67391">
        <w:rPr>
          <w:rFonts w:ascii="Segoe UI" w:eastAsia="Aptos" w:hAnsi="Segoe UI" w:cs="Segoe UI"/>
          <w:sz w:val="21"/>
          <w:szCs w:val="21"/>
        </w:rPr>
        <w:t>over</w:t>
      </w:r>
      <w:r w:rsidRPr="00E068A2">
        <w:rPr>
          <w:rFonts w:ascii="Segoe UI" w:eastAsia="Aptos" w:hAnsi="Segoe UI" w:cs="Segoe UI"/>
          <w:sz w:val="21"/>
          <w:szCs w:val="21"/>
        </w:rPr>
        <w:t xml:space="preserve"> four decades:</w:t>
      </w:r>
    </w:p>
    <w:p w14:paraId="3D1C0B12" w14:textId="77777777" w:rsidR="00E068A2" w:rsidRPr="00E068A2" w:rsidRDefault="00E068A2" w:rsidP="00E068A2">
      <w:pPr>
        <w:spacing w:before="100" w:beforeAutospacing="1" w:after="100" w:afterAutospacing="1" w:line="300" w:lineRule="atLeast"/>
        <w:rPr>
          <w:rFonts w:ascii="Segoe UI" w:eastAsia="Aptos" w:hAnsi="Segoe UI" w:cs="Segoe UI"/>
          <w:b/>
          <w:bCs/>
          <w:sz w:val="27"/>
          <w:szCs w:val="27"/>
        </w:rPr>
      </w:pPr>
      <w:r w:rsidRPr="00E068A2">
        <w:rPr>
          <w:rFonts w:ascii="Segoe UI" w:eastAsia="Aptos" w:hAnsi="Segoe UI" w:cs="Segoe UI"/>
          <w:b/>
          <w:bCs/>
          <w:sz w:val="27"/>
          <w:szCs w:val="27"/>
        </w:rPr>
        <w:t>Innovation and Translation</w:t>
      </w:r>
    </w:p>
    <w:p w14:paraId="77E18CE0" w14:textId="77777777"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sz w:val="21"/>
          <w:szCs w:val="21"/>
        </w:rPr>
        <w:t xml:space="preserve">Pioneering safe, noninvasive imaging and therapeutic applications and translating scientific discoveries into clinical practice. </w:t>
      </w:r>
      <w:r w:rsidRPr="00E068A2">
        <w:rPr>
          <w:rFonts w:ascii="Segoe UI" w:eastAsia="Aptos" w:hAnsi="Segoe UI" w:cs="Segoe UI"/>
          <w:color w:val="D20000"/>
          <w:sz w:val="21"/>
          <w:szCs w:val="21"/>
        </w:rPr>
        <w:t> </w:t>
      </w:r>
    </w:p>
    <w:p w14:paraId="22E65753" w14:textId="77777777" w:rsidR="00E068A2" w:rsidRPr="00E068A2" w:rsidRDefault="00E068A2" w:rsidP="00E068A2">
      <w:pPr>
        <w:spacing w:before="100" w:beforeAutospacing="1" w:after="100" w:afterAutospacing="1" w:line="300" w:lineRule="atLeast"/>
        <w:rPr>
          <w:rFonts w:ascii="Segoe UI" w:eastAsia="Aptos" w:hAnsi="Segoe UI" w:cs="Segoe UI"/>
          <w:b/>
          <w:bCs/>
          <w:sz w:val="27"/>
          <w:szCs w:val="27"/>
        </w:rPr>
      </w:pPr>
      <w:r w:rsidRPr="00E068A2">
        <w:rPr>
          <w:rFonts w:ascii="Segoe UI" w:eastAsia="Aptos" w:hAnsi="Segoe UI" w:cs="Segoe UI"/>
          <w:b/>
          <w:bCs/>
          <w:sz w:val="27"/>
          <w:szCs w:val="27"/>
        </w:rPr>
        <w:t>Cross-Specialty Collaboration</w:t>
      </w:r>
    </w:p>
    <w:p w14:paraId="79B0DEFE" w14:textId="77777777"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sz w:val="21"/>
          <w:szCs w:val="21"/>
        </w:rPr>
        <w:lastRenderedPageBreak/>
        <w:t xml:space="preserve">Bringing together physicians, scientists, engineers, sonographers, nurses, and industry leaders from multiple specialties to pursue common goals. </w:t>
      </w:r>
      <w:r w:rsidRPr="00E068A2">
        <w:rPr>
          <w:rFonts w:ascii="Segoe UI" w:eastAsia="Aptos" w:hAnsi="Segoe UI" w:cs="Segoe UI"/>
          <w:color w:val="D20000"/>
          <w:sz w:val="21"/>
          <w:szCs w:val="21"/>
        </w:rPr>
        <w:t> </w:t>
      </w:r>
    </w:p>
    <w:p w14:paraId="1167C04B" w14:textId="77777777" w:rsidR="00E068A2" w:rsidRPr="00E068A2" w:rsidRDefault="00E068A2" w:rsidP="00E068A2">
      <w:pPr>
        <w:spacing w:before="100" w:beforeAutospacing="1" w:after="100" w:afterAutospacing="1" w:line="300" w:lineRule="atLeast"/>
        <w:rPr>
          <w:rFonts w:ascii="Segoe UI" w:eastAsia="Aptos" w:hAnsi="Segoe UI" w:cs="Segoe UI"/>
          <w:b/>
          <w:bCs/>
          <w:sz w:val="27"/>
          <w:szCs w:val="27"/>
        </w:rPr>
      </w:pPr>
      <w:r w:rsidRPr="00E068A2">
        <w:rPr>
          <w:rFonts w:ascii="Segoe UI" w:eastAsia="Aptos" w:hAnsi="Segoe UI" w:cs="Segoe UI"/>
          <w:b/>
          <w:bCs/>
          <w:sz w:val="27"/>
          <w:szCs w:val="27"/>
        </w:rPr>
        <w:t>Global Leadership and Advocacy</w:t>
      </w:r>
    </w:p>
    <w:p w14:paraId="5448C733" w14:textId="77777777"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sz w:val="21"/>
          <w:szCs w:val="21"/>
        </w:rPr>
        <w:t xml:space="preserve">Advancing education, standards, access, and acceptance of CEUS worldwide. </w:t>
      </w:r>
      <w:r w:rsidRPr="00E068A2">
        <w:rPr>
          <w:rFonts w:ascii="Segoe UI" w:eastAsia="Aptos" w:hAnsi="Segoe UI" w:cs="Segoe UI"/>
          <w:color w:val="D20000"/>
          <w:sz w:val="21"/>
          <w:szCs w:val="21"/>
        </w:rPr>
        <w:t> </w:t>
      </w:r>
    </w:p>
    <w:p w14:paraId="070ED416" w14:textId="77777777" w:rsidR="00E068A2" w:rsidRPr="00E068A2" w:rsidRDefault="00E068A2" w:rsidP="00E068A2">
      <w:pPr>
        <w:spacing w:before="100" w:beforeAutospacing="1" w:after="100" w:afterAutospacing="1" w:line="300" w:lineRule="atLeast"/>
        <w:rPr>
          <w:rFonts w:ascii="Segoe UI" w:eastAsia="Aptos" w:hAnsi="Segoe UI" w:cs="Segoe UI"/>
          <w:b/>
          <w:bCs/>
          <w:sz w:val="27"/>
          <w:szCs w:val="27"/>
        </w:rPr>
      </w:pPr>
      <w:r w:rsidRPr="00E068A2">
        <w:rPr>
          <w:rFonts w:ascii="Segoe UI" w:eastAsia="Aptos" w:hAnsi="Segoe UI" w:cs="Segoe UI"/>
          <w:b/>
          <w:bCs/>
          <w:sz w:val="27"/>
          <w:szCs w:val="27"/>
        </w:rPr>
        <w:t>Community, Mentorship, and Lifelong Relationships</w:t>
      </w:r>
    </w:p>
    <w:p w14:paraId="5EEAFA53" w14:textId="77777777" w:rsidR="00E068A2" w:rsidRPr="00E068A2" w:rsidRDefault="00E068A2" w:rsidP="00E068A2">
      <w:pPr>
        <w:spacing w:before="100" w:beforeAutospacing="1" w:after="100" w:afterAutospacing="1" w:line="300" w:lineRule="atLeast"/>
        <w:rPr>
          <w:rFonts w:ascii="Segoe UI" w:eastAsia="Aptos" w:hAnsi="Segoe UI" w:cs="Segoe UI"/>
          <w:color w:val="D20000"/>
          <w:sz w:val="21"/>
          <w:szCs w:val="21"/>
        </w:rPr>
      </w:pPr>
      <w:r w:rsidRPr="00E068A2">
        <w:rPr>
          <w:rFonts w:ascii="Segoe UI" w:eastAsia="Aptos" w:hAnsi="Segoe UI" w:cs="Segoe UI"/>
          <w:sz w:val="21"/>
          <w:szCs w:val="21"/>
        </w:rPr>
        <w:t xml:space="preserve">Developing future leaders while fostering enduring professional and personal relationships within the ultrasound community. </w:t>
      </w:r>
      <w:r w:rsidRPr="00E068A2">
        <w:rPr>
          <w:rFonts w:ascii="Segoe UI" w:eastAsia="Aptos" w:hAnsi="Segoe UI" w:cs="Segoe UI"/>
          <w:color w:val="D20000"/>
          <w:sz w:val="21"/>
          <w:szCs w:val="21"/>
        </w:rPr>
        <w:t> </w:t>
      </w:r>
    </w:p>
    <w:p w14:paraId="7792340A" w14:textId="77777777"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noProof/>
          <w:sz w:val="21"/>
          <w:szCs w:val="21"/>
        </w:rPr>
        <w:drawing>
          <wp:inline distT="0" distB="0" distL="0" distR="0" wp14:anchorId="5E91E2C0" wp14:editId="1DB4CE4F">
            <wp:extent cx="9899650" cy="5022850"/>
            <wp:effectExtent l="0" t="0" r="6350" b="635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9899650" cy="5022850"/>
                    </a:xfrm>
                    <a:prstGeom prst="rect">
                      <a:avLst/>
                    </a:prstGeom>
                    <a:noFill/>
                    <a:ln>
                      <a:noFill/>
                    </a:ln>
                  </pic:spPr>
                </pic:pic>
              </a:graphicData>
            </a:graphic>
          </wp:inline>
        </w:drawing>
      </w:r>
    </w:p>
    <w:p w14:paraId="3EE3676F" w14:textId="77777777" w:rsidR="00E068A2" w:rsidRPr="00E068A2" w:rsidRDefault="007A594A" w:rsidP="00E068A2">
      <w:pPr>
        <w:spacing w:after="0" w:line="300" w:lineRule="atLeast"/>
        <w:jc w:val="center"/>
        <w:rPr>
          <w:rFonts w:ascii="Segoe UI" w:eastAsia="Times New Roman" w:hAnsi="Segoe UI" w:cs="Segoe UI"/>
          <w:sz w:val="21"/>
          <w:szCs w:val="21"/>
        </w:rPr>
      </w:pPr>
      <w:r>
        <w:rPr>
          <w:rFonts w:ascii="Segoe UI" w:eastAsia="Times New Roman" w:hAnsi="Segoe UI" w:cs="Segoe UI"/>
          <w:sz w:val="21"/>
          <w:szCs w:val="21"/>
        </w:rPr>
        <w:pict w14:anchorId="30439E6E">
          <v:rect id="_x0000_i1031" style="width:468pt;height:1.2pt" o:hralign="center" o:hrstd="t" o:hr="t" fillcolor="#a0a0a0" stroked="f"/>
        </w:pict>
      </w:r>
    </w:p>
    <w:p w14:paraId="3503D448" w14:textId="44F3AD92" w:rsidR="00E068A2" w:rsidRPr="00B67391" w:rsidRDefault="00E068A2" w:rsidP="00E068A2">
      <w:pPr>
        <w:spacing w:before="100" w:beforeAutospacing="1" w:after="100" w:afterAutospacing="1" w:line="300" w:lineRule="atLeast"/>
        <w:rPr>
          <w:rFonts w:ascii="Segoe UI" w:eastAsia="Aptos" w:hAnsi="Segoe UI" w:cs="Segoe UI"/>
          <w:b/>
          <w:bCs/>
          <w:sz w:val="28"/>
          <w:szCs w:val="28"/>
        </w:rPr>
      </w:pPr>
      <w:r w:rsidRPr="00B67391">
        <w:rPr>
          <w:rFonts w:ascii="Segoe UI" w:eastAsia="Aptos" w:hAnsi="Segoe UI" w:cs="Segoe UI"/>
          <w:b/>
          <w:bCs/>
          <w:sz w:val="28"/>
          <w:szCs w:val="28"/>
        </w:rPr>
        <w:t xml:space="preserve">7. Tribute to </w:t>
      </w:r>
      <w:r w:rsidR="00B67391">
        <w:rPr>
          <w:rFonts w:ascii="Segoe UI" w:eastAsia="Aptos" w:hAnsi="Segoe UI" w:cs="Segoe UI"/>
          <w:b/>
          <w:bCs/>
          <w:sz w:val="28"/>
          <w:szCs w:val="28"/>
        </w:rPr>
        <w:t xml:space="preserve">Dr. </w:t>
      </w:r>
      <w:r w:rsidRPr="00B67391">
        <w:rPr>
          <w:rFonts w:ascii="Segoe UI" w:eastAsia="Aptos" w:hAnsi="Segoe UI" w:cs="Segoe UI"/>
          <w:b/>
          <w:bCs/>
          <w:sz w:val="28"/>
          <w:szCs w:val="28"/>
        </w:rPr>
        <w:t>Steve Feinstein</w:t>
      </w:r>
    </w:p>
    <w:p w14:paraId="6EF3A884" w14:textId="77777777"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sz w:val="21"/>
          <w:szCs w:val="21"/>
        </w:rPr>
        <w:lastRenderedPageBreak/>
        <w:t xml:space="preserve">The keynote culminated in a heartfelt tribute to Steve Feinstein, recognizing his central role in building the Bubble Conference and advancing CEUS worldwide. Dr. Main emphasized that millions of patients have benefited from four decades of leadership, mentorship, advocacy, and friendship. </w:t>
      </w:r>
      <w:r w:rsidRPr="00E068A2">
        <w:rPr>
          <w:rFonts w:ascii="Segoe UI" w:eastAsia="Aptos" w:hAnsi="Segoe UI" w:cs="Segoe UI"/>
          <w:color w:val="D20000"/>
          <w:sz w:val="21"/>
          <w:szCs w:val="21"/>
        </w:rPr>
        <w:t> </w:t>
      </w:r>
    </w:p>
    <w:p w14:paraId="1494D268" w14:textId="77777777" w:rsidR="00E068A2" w:rsidRPr="00E068A2" w:rsidRDefault="007A594A" w:rsidP="00E068A2">
      <w:pPr>
        <w:spacing w:after="0" w:line="300" w:lineRule="atLeast"/>
        <w:jc w:val="center"/>
        <w:rPr>
          <w:rFonts w:ascii="Segoe UI" w:eastAsia="Times New Roman" w:hAnsi="Segoe UI" w:cs="Segoe UI"/>
          <w:sz w:val="21"/>
          <w:szCs w:val="21"/>
        </w:rPr>
      </w:pPr>
      <w:r>
        <w:rPr>
          <w:rFonts w:ascii="Segoe UI" w:eastAsia="Times New Roman" w:hAnsi="Segoe UI" w:cs="Segoe UI"/>
          <w:sz w:val="21"/>
          <w:szCs w:val="21"/>
        </w:rPr>
        <w:pict w14:anchorId="2D21AA7E">
          <v:rect id="_x0000_i1032" style="width:468pt;height:1.2pt" o:hralign="center" o:hrstd="t" o:hr="t" fillcolor="#a0a0a0" stroked="f"/>
        </w:pict>
      </w:r>
    </w:p>
    <w:p w14:paraId="2C589C66" w14:textId="77777777" w:rsidR="00E068A2" w:rsidRPr="00B67391" w:rsidRDefault="00E068A2" w:rsidP="00E068A2">
      <w:pPr>
        <w:spacing w:before="100" w:beforeAutospacing="1" w:after="100" w:afterAutospacing="1" w:line="300" w:lineRule="atLeast"/>
        <w:rPr>
          <w:rFonts w:ascii="Segoe UI" w:eastAsia="Aptos" w:hAnsi="Segoe UI" w:cs="Segoe UI"/>
          <w:b/>
          <w:bCs/>
          <w:sz w:val="28"/>
          <w:szCs w:val="28"/>
        </w:rPr>
      </w:pPr>
      <w:r w:rsidRPr="00B67391">
        <w:rPr>
          <w:rFonts w:ascii="Segoe UI" w:eastAsia="Aptos" w:hAnsi="Segoe UI" w:cs="Segoe UI"/>
          <w:b/>
          <w:bCs/>
          <w:sz w:val="28"/>
          <w:szCs w:val="28"/>
        </w:rPr>
        <w:t>Key Takeaway</w:t>
      </w:r>
    </w:p>
    <w:p w14:paraId="5E74CCDE" w14:textId="77777777" w:rsidR="00E068A2" w:rsidRPr="00E068A2" w:rsidRDefault="00E068A2" w:rsidP="00E068A2">
      <w:pPr>
        <w:spacing w:before="100" w:beforeAutospacing="1" w:after="100" w:afterAutospacing="1" w:line="300" w:lineRule="atLeast"/>
        <w:rPr>
          <w:rFonts w:ascii="Segoe UI" w:eastAsia="Aptos" w:hAnsi="Segoe UI" w:cs="Segoe UI"/>
          <w:sz w:val="21"/>
          <w:szCs w:val="21"/>
        </w:rPr>
      </w:pPr>
      <w:r w:rsidRPr="00E068A2">
        <w:rPr>
          <w:rFonts w:ascii="Segoe UI" w:eastAsia="Aptos" w:hAnsi="Segoe UI" w:cs="Segoe UI"/>
          <w:sz w:val="21"/>
          <w:szCs w:val="21"/>
        </w:rPr>
        <w:t>Dr. Main's presentation was both a history lesson and a celebration. It showed how a small group of innovators gathered in Chicago four decades ago with a handful of scientific questions and helped create a global field. The keynote underscored that the success of CEUS resulted not only from technological innovation but also from collaboration across specialties, persistent advocacy in the face of regulatory challenges, strong mentorship, and visionary leadership, particularly that of Steve Feinstein.</w:t>
      </w:r>
    </w:p>
    <w:p w14:paraId="41E45C5B" w14:textId="77777777" w:rsidR="00E068A2" w:rsidRPr="00E068A2" w:rsidRDefault="00E068A2" w:rsidP="00E068A2">
      <w:pPr>
        <w:spacing w:after="0" w:line="240" w:lineRule="auto"/>
        <w:rPr>
          <w:rFonts w:ascii="Aptos" w:eastAsia="Aptos" w:hAnsi="Aptos" w:cs="Aptos"/>
          <w:sz w:val="22"/>
          <w14:ligatures w14:val="standardContextual"/>
        </w:rPr>
      </w:pPr>
    </w:p>
    <w:p w14:paraId="70B7E4A0" w14:textId="77777777" w:rsidR="00E068A2" w:rsidRPr="00E068A2" w:rsidRDefault="00E068A2" w:rsidP="00E068A2">
      <w:pPr>
        <w:spacing w:after="0" w:line="240" w:lineRule="auto"/>
        <w:rPr>
          <w:rFonts w:ascii="Aptos" w:eastAsia="Aptos" w:hAnsi="Aptos" w:cs="Aptos"/>
          <w:sz w:val="22"/>
          <w14:ligatures w14:val="standardContextual"/>
        </w:rPr>
      </w:pPr>
    </w:p>
    <w:p w14:paraId="59CAB899" w14:textId="77777777" w:rsidR="00E068A2" w:rsidRPr="00E068A2" w:rsidRDefault="00E068A2" w:rsidP="00E068A2">
      <w:pPr>
        <w:spacing w:after="0" w:line="240" w:lineRule="auto"/>
        <w:rPr>
          <w:rFonts w:ascii="Aptos" w:eastAsia="Aptos" w:hAnsi="Aptos" w:cs="Aptos"/>
          <w:sz w:val="22"/>
          <w14:ligatures w14:val="standardContextual"/>
        </w:rPr>
      </w:pPr>
    </w:p>
    <w:p w14:paraId="64F38330" w14:textId="77777777" w:rsidR="0028728E" w:rsidRDefault="0028728E"/>
    <w:sectPr w:rsidR="0028728E">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CF4CB" w14:textId="77777777" w:rsidR="007A594A" w:rsidRDefault="007A594A">
      <w:pPr>
        <w:spacing w:after="0" w:line="240" w:lineRule="auto"/>
      </w:pPr>
      <w:r>
        <w:separator/>
      </w:r>
    </w:p>
  </w:endnote>
  <w:endnote w:type="continuationSeparator" w:id="0">
    <w:p w14:paraId="4DC1C089" w14:textId="77777777" w:rsidR="007A594A" w:rsidRDefault="007A5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1C40" w14:textId="77777777" w:rsidR="0028728E" w:rsidRDefault="002872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2694" w14:textId="77777777" w:rsidR="0028728E" w:rsidRDefault="002872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A16" w14:textId="77777777" w:rsidR="0028728E" w:rsidRDefault="00287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5F798" w14:textId="77777777" w:rsidR="007A594A" w:rsidRDefault="007A594A">
      <w:pPr>
        <w:spacing w:after="0" w:line="240" w:lineRule="auto"/>
      </w:pPr>
      <w:r>
        <w:separator/>
      </w:r>
    </w:p>
  </w:footnote>
  <w:footnote w:type="continuationSeparator" w:id="0">
    <w:p w14:paraId="18F22E53" w14:textId="77777777" w:rsidR="007A594A" w:rsidRDefault="007A59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C03FD" w14:textId="77777777" w:rsidR="0028728E" w:rsidRDefault="002872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A2290" w14:textId="77777777" w:rsidR="0028728E" w:rsidRDefault="002872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DAD1" w14:textId="77777777" w:rsidR="0028728E" w:rsidRDefault="002872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5EA5"/>
    <w:multiLevelType w:val="multilevel"/>
    <w:tmpl w:val="50EE1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CB12C2"/>
    <w:multiLevelType w:val="multilevel"/>
    <w:tmpl w:val="851AC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C1572B"/>
    <w:multiLevelType w:val="multilevel"/>
    <w:tmpl w:val="B11C2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630040"/>
    <w:multiLevelType w:val="multilevel"/>
    <w:tmpl w:val="7234A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1B6BA4"/>
    <w:multiLevelType w:val="multilevel"/>
    <w:tmpl w:val="78221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45633332">
    <w:abstractNumId w:val="0"/>
  </w:num>
  <w:num w:numId="2" w16cid:durableId="1389721826">
    <w:abstractNumId w:val="2"/>
  </w:num>
  <w:num w:numId="3" w16cid:durableId="2128617186">
    <w:abstractNumId w:val="4"/>
  </w:num>
  <w:num w:numId="4" w16cid:durableId="246160817">
    <w:abstractNumId w:val="3"/>
  </w:num>
  <w:num w:numId="5" w16cid:durableId="1529021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8A2"/>
    <w:rsid w:val="00022017"/>
    <w:rsid w:val="001C4E83"/>
    <w:rsid w:val="0028728E"/>
    <w:rsid w:val="00592AF3"/>
    <w:rsid w:val="005D29F2"/>
    <w:rsid w:val="00697B1F"/>
    <w:rsid w:val="007A594A"/>
    <w:rsid w:val="00881FDB"/>
    <w:rsid w:val="008E03AA"/>
    <w:rsid w:val="009A0FE4"/>
    <w:rsid w:val="009F769D"/>
    <w:rsid w:val="00AA7D25"/>
    <w:rsid w:val="00B67391"/>
    <w:rsid w:val="00C87B87"/>
    <w:rsid w:val="00C91A5F"/>
    <w:rsid w:val="00D50ADC"/>
    <w:rsid w:val="00E068A2"/>
    <w:rsid w:val="00F7543B"/>
    <w:rsid w:val="00FA0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BB2CD"/>
  <w15:chartTrackingRefBased/>
  <w15:docId w15:val="{A7F03616-0442-4328-918B-ADFA150D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Arial" w:hAnsi="Arial"/>
      <w:sz w:val="20"/>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Arial" w:hAnsi="Arial"/>
      <w:sz w:val="20"/>
    </w:rPr>
  </w:style>
  <w:style w:type="table" w:styleId="TableGrid">
    <w:name w:val="Table Grid"/>
    <w:basedOn w:val="TableNormal"/>
    <w:uiPriority w:val="39"/>
    <w:rsid w:val="00E06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cid:image007.png@01DD5644.523F7C00"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6.png@01DD5644.523F7C00" TargetMode="External"/><Relationship Id="rId5" Type="http://schemas.openxmlformats.org/officeDocument/2006/relationships/footnotes" Target="footnotes.xml"/><Relationship Id="rId15" Type="http://schemas.openxmlformats.org/officeDocument/2006/relationships/image" Target="cid:image008.png@01DD5644.523F7C00"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cid:image005.png@01DD5644.523F7C00" TargetMode="External"/><Relationship Id="rId14" Type="http://schemas.openxmlformats.org/officeDocument/2006/relationships/image" Target="media/image5.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squire%20Innovations\iCreate\iTemplates\iBlank\Blank%20Portrait%20(U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c49b111-19db-458d-83ff-1af0ac9ae35b}" enabled="0" method="" siteId="{3c49b111-19db-458d-83ff-1af0ac9ae35b}" removed="1"/>
</clbl:labelList>
</file>

<file path=docProps/app.xml><?xml version="1.0" encoding="utf-8"?>
<Properties xmlns="http://schemas.openxmlformats.org/officeDocument/2006/extended-properties" xmlns:vt="http://schemas.openxmlformats.org/officeDocument/2006/docPropsVTypes">
  <Template>Blank Portrait (US)</Template>
  <TotalTime>0</TotalTime>
  <Pages>7</Pages>
  <Words>980</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Dentons</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Feinstein, Linda Maiman</dc:creator>
  <cp:keywords/>
  <dc:description/>
  <cp:lastModifiedBy>Feinstein, Linda Maiman</cp:lastModifiedBy>
  <cp:revision>2</cp:revision>
  <dcterms:created xsi:type="dcterms:W3CDTF">2026-10-13T16:34:00Z</dcterms:created>
  <dcterms:modified xsi:type="dcterms:W3CDTF">2026-10-13T16:34:00Z</dcterms:modified>
</cp:coreProperties>
</file>